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A32" w:rsidRPr="0065482C" w:rsidRDefault="00C67F7C" w:rsidP="00626896">
      <w:pPr>
        <w:jc w:val="center"/>
        <w:rPr>
          <w:b/>
          <w:color w:val="984806" w:themeColor="accent6" w:themeShade="80"/>
          <w:sz w:val="32"/>
          <w:szCs w:val="32"/>
        </w:rPr>
      </w:pPr>
      <w:r>
        <w:rPr>
          <w:b/>
          <w:color w:val="984806" w:themeColor="accent6" w:themeShade="80"/>
          <w:sz w:val="32"/>
          <w:szCs w:val="32"/>
        </w:rPr>
        <w:t>Annual Planning Actions Progress</w:t>
      </w:r>
      <w:r w:rsidR="00F760AF" w:rsidRPr="0065482C">
        <w:rPr>
          <w:b/>
          <w:color w:val="984806" w:themeColor="accent6" w:themeShade="80"/>
          <w:sz w:val="32"/>
          <w:szCs w:val="32"/>
        </w:rPr>
        <w:t xml:space="preserve"> </w:t>
      </w:r>
      <w:r w:rsidR="001214E8">
        <w:rPr>
          <w:b/>
          <w:color w:val="984806" w:themeColor="accent6" w:themeShade="80"/>
          <w:sz w:val="32"/>
          <w:szCs w:val="32"/>
        </w:rPr>
        <w:t xml:space="preserve">| </w:t>
      </w:r>
      <w:r w:rsidR="00112EF7">
        <w:rPr>
          <w:b/>
          <w:color w:val="984806" w:themeColor="accent6" w:themeShade="80"/>
          <w:sz w:val="32"/>
          <w:szCs w:val="32"/>
        </w:rPr>
        <w:t>2021-2022</w:t>
      </w:r>
    </w:p>
    <w:p w:rsidR="00A70FCC" w:rsidRDefault="00DE7258" w:rsidP="00C67F7C">
      <w:pPr>
        <w:jc w:val="center"/>
        <w:rPr>
          <w:b/>
          <w:sz w:val="24"/>
          <w:szCs w:val="24"/>
        </w:rPr>
      </w:pPr>
      <w:r>
        <w:pict>
          <v:rect id="_x0000_i1025" style="width:540pt;height:1.5pt" o:hralign="center" o:hrstd="t" o:hrnoshade="t" o:hr="t" fillcolor="#974706 [1609]" stroked="f"/>
        </w:pic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1"/>
        <w:gridCol w:w="8845"/>
      </w:tblGrid>
      <w:tr w:rsidR="005F3C9D" w:rsidTr="00F44DB7">
        <w:tc>
          <w:tcPr>
            <w:tcW w:w="2171" w:type="dxa"/>
          </w:tcPr>
          <w:p w:rsidR="005F3C9D" w:rsidRPr="00A70FCC" w:rsidRDefault="005F3C9D" w:rsidP="00A70FCC">
            <w:pPr>
              <w:pStyle w:val="ListParagraph"/>
              <w:numPr>
                <w:ilvl w:val="0"/>
                <w:numId w:val="2"/>
              </w:numPr>
              <w:rPr>
                <w:b/>
              </w:rPr>
            </w:pPr>
            <w:r w:rsidRPr="00A70FCC">
              <w:rPr>
                <w:b/>
              </w:rPr>
              <w:t>Overview</w:t>
            </w:r>
          </w:p>
        </w:tc>
        <w:tc>
          <w:tcPr>
            <w:tcW w:w="8845" w:type="dxa"/>
          </w:tcPr>
          <w:p w:rsidR="005F3C9D" w:rsidRDefault="00CB2068" w:rsidP="00E325A6">
            <w:r>
              <w:t xml:space="preserve">The College of the Redwoods </w:t>
            </w:r>
            <w:r w:rsidR="005F3C9D">
              <w:t>Education Master Plan contain goals that drive the institution. Each year, an annual plan is created with action items that are driven by these goals. This report begins with a progress u</w:t>
            </w:r>
            <w:r w:rsidR="00112EF7">
              <w:t>pdate on each action in the 2021-2022</w:t>
            </w:r>
            <w:r w:rsidR="005F3C9D">
              <w:t xml:space="preserve"> plan, each prefaced by an overview of related institutional data indicators.</w:t>
            </w:r>
          </w:p>
        </w:tc>
      </w:tr>
    </w:tbl>
    <w:p w:rsidR="00F44DB7" w:rsidRDefault="00DE7258" w:rsidP="00A70FCC">
      <w:r>
        <w:pict>
          <v:rect id="_x0000_i1026" style="width:540pt;height:1.5pt" o:hralign="center" o:hrstd="t" o:hrnoshade="t" o:hr="t" fillcolor="#974706 [1609]" stroked="f"/>
        </w:pic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88"/>
      </w:tblGrid>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spacing w:after="0" w:line="240" w:lineRule="auto"/>
              <w:jc w:val="center"/>
              <w:rPr>
                <w:rFonts w:cs="Calibri"/>
                <w:b/>
              </w:rPr>
            </w:pPr>
            <w:r w:rsidRPr="00D51D30">
              <w:rPr>
                <w:rFonts w:cs="Calibri"/>
                <w:b/>
              </w:rPr>
              <w:t>Goal: Student Success, Access &amp; Equity</w:t>
            </w:r>
          </w:p>
        </w:tc>
      </w:tr>
      <w:tr w:rsidR="00FB56A3" w:rsidRPr="00D51D30" w:rsidTr="0069153A">
        <w:tc>
          <w:tcPr>
            <w:tcW w:w="11088" w:type="dxa"/>
            <w:tcBorders>
              <w:top w:val="nil"/>
              <w:left w:val="nil"/>
              <w:bottom w:val="nil"/>
              <w:right w:val="nil"/>
            </w:tcBorders>
            <w:shd w:val="clear" w:color="auto" w:fill="D9D9D9"/>
          </w:tcPr>
          <w:p w:rsidR="00FB56A3" w:rsidRPr="00D51D30" w:rsidRDefault="00FB56A3" w:rsidP="0069153A">
            <w:pPr>
              <w:tabs>
                <w:tab w:val="left" w:pos="5940"/>
              </w:tabs>
              <w:spacing w:after="0" w:line="240" w:lineRule="auto"/>
              <w:jc w:val="center"/>
              <w:rPr>
                <w:rFonts w:cs="Calibri"/>
              </w:rPr>
            </w:pPr>
            <w:r w:rsidRPr="00D51D30">
              <w:rPr>
                <w:rFonts w:cs="Calibri"/>
              </w:rPr>
              <w:t>Objectives</w:t>
            </w:r>
          </w:p>
        </w:tc>
      </w:tr>
      <w:tr w:rsidR="00FB56A3" w:rsidRPr="00D51D30" w:rsidTr="0069153A">
        <w:trPr>
          <w:trHeight w:val="333"/>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cs="Calibri"/>
                <w:color w:val="000000"/>
              </w:rPr>
            </w:pPr>
            <w:r w:rsidRPr="00D51D30">
              <w:rPr>
                <w:rFonts w:cs="Calibri"/>
                <w:color w:val="000000"/>
              </w:rPr>
              <w:t>Provide accessible, affordable, high-quality education.</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Effectively use all learning modalities to provide students the knowledge and skills they need to succeed.</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Deliver strong individual support for students.</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Promote and encourage a learning community among students, faculty, and staff.</w:t>
            </w:r>
          </w:p>
        </w:tc>
      </w:tr>
      <w:tr w:rsidR="00FB56A3" w:rsidRPr="00D51D30" w:rsidTr="0069153A">
        <w:trPr>
          <w:trHeight w:val="287"/>
        </w:trPr>
        <w:tc>
          <w:tcPr>
            <w:tcW w:w="11088" w:type="dxa"/>
            <w:tcBorders>
              <w:top w:val="nil"/>
              <w:left w:val="nil"/>
            </w:tcBorders>
            <w:vAlign w:val="center"/>
          </w:tcPr>
          <w:p w:rsidR="00FB56A3" w:rsidRPr="00D51D30" w:rsidRDefault="00FB56A3" w:rsidP="00FB56A3">
            <w:pPr>
              <w:pStyle w:val="ListParagraph"/>
              <w:numPr>
                <w:ilvl w:val="0"/>
                <w:numId w:val="14"/>
              </w:numPr>
              <w:spacing w:after="0" w:line="240" w:lineRule="auto"/>
              <w:contextualSpacing w:val="0"/>
              <w:rPr>
                <w:rFonts w:eastAsia="Times New Roman"/>
              </w:rPr>
            </w:pPr>
            <w:r w:rsidRPr="00D51D30">
              <w:rPr>
                <w:rFonts w:eastAsia="Times New Roman"/>
              </w:rPr>
              <w:t>Strive to eliminate achievement gaps across student groups.</w:t>
            </w:r>
          </w:p>
        </w:tc>
      </w:tr>
    </w:tbl>
    <w:p w:rsidR="00525D81" w:rsidRPr="00525D81" w:rsidRDefault="009E673E" w:rsidP="005845BB">
      <w:pPr>
        <w:rPr>
          <w:b/>
        </w:rPr>
      </w:pPr>
      <w:r>
        <w:rPr>
          <w:b/>
        </w:rPr>
        <w:t xml:space="preserve">    </w:t>
      </w:r>
    </w:p>
    <w:tbl>
      <w:tblPr>
        <w:tblStyle w:val="TableGrid"/>
        <w:tblW w:w="1108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61"/>
        <w:gridCol w:w="7111"/>
        <w:gridCol w:w="1516"/>
      </w:tblGrid>
      <w:tr w:rsidR="00FB56A3" w:rsidRPr="00985B0B" w:rsidTr="005845BB">
        <w:trPr>
          <w:trHeight w:val="341"/>
        </w:trPr>
        <w:tc>
          <w:tcPr>
            <w:tcW w:w="2461" w:type="dxa"/>
            <w:shd w:val="clear" w:color="auto" w:fill="D9D9D9" w:themeFill="background1" w:themeFillShade="D9"/>
          </w:tcPr>
          <w:p w:rsidR="00FB56A3" w:rsidRPr="00985B0B" w:rsidRDefault="00FB56A3" w:rsidP="00F44DB7">
            <w:pPr>
              <w:tabs>
                <w:tab w:val="left" w:pos="5940"/>
              </w:tabs>
            </w:pPr>
            <w:r w:rsidRPr="00985B0B">
              <w:t>Annual Planning Actions</w:t>
            </w:r>
          </w:p>
        </w:tc>
        <w:tc>
          <w:tcPr>
            <w:tcW w:w="7111" w:type="dxa"/>
            <w:shd w:val="clear" w:color="auto" w:fill="D9D9D9" w:themeFill="background1" w:themeFillShade="D9"/>
          </w:tcPr>
          <w:p w:rsidR="00FB56A3" w:rsidRPr="00985B0B" w:rsidRDefault="00FB56A3" w:rsidP="00555E63">
            <w:pPr>
              <w:tabs>
                <w:tab w:val="left" w:pos="5940"/>
              </w:tabs>
            </w:pPr>
            <w:r>
              <w:t>Progress Update</w:t>
            </w:r>
          </w:p>
        </w:tc>
        <w:tc>
          <w:tcPr>
            <w:tcW w:w="1516" w:type="dxa"/>
            <w:shd w:val="clear" w:color="auto" w:fill="D9D9D9" w:themeFill="background1" w:themeFillShade="D9"/>
          </w:tcPr>
          <w:p w:rsidR="00FB56A3" w:rsidRDefault="00FB56A3" w:rsidP="00F44DB7">
            <w:pPr>
              <w:tabs>
                <w:tab w:val="left" w:pos="5940"/>
              </w:tabs>
            </w:pPr>
            <w:r>
              <w:t xml:space="preserve">Status </w:t>
            </w:r>
          </w:p>
          <w:p w:rsidR="00FB56A3" w:rsidRPr="00985B0B" w:rsidRDefault="00FB56A3" w:rsidP="00F44DB7">
            <w:pPr>
              <w:tabs>
                <w:tab w:val="left" w:pos="5940"/>
              </w:tabs>
            </w:pPr>
            <w:r>
              <w:t>(mark one)</w:t>
            </w:r>
          </w:p>
        </w:tc>
      </w:tr>
      <w:tr w:rsidR="00112EF7"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112EF7" w:rsidRDefault="00112EF7" w:rsidP="0069153A">
            <w:pPr>
              <w:tabs>
                <w:tab w:val="left" w:pos="5940"/>
              </w:tabs>
              <w:ind w:left="288" w:hanging="288"/>
              <w:rPr>
                <w:color w:val="FF0000"/>
              </w:rPr>
            </w:pPr>
            <w:r>
              <w:rPr>
                <w:color w:val="FF0000"/>
              </w:rPr>
              <w:t>DSPS</w:t>
            </w:r>
          </w:p>
          <w:p w:rsidR="00112EF7" w:rsidRDefault="00112EF7" w:rsidP="0069153A">
            <w:pPr>
              <w:tabs>
                <w:tab w:val="left" w:pos="5940"/>
              </w:tabs>
              <w:ind w:left="288" w:hanging="288"/>
              <w:rPr>
                <w:color w:val="FF0000"/>
              </w:rPr>
            </w:pPr>
            <w:r>
              <w:t>Increase persistence and completion rates of DSPS students through intensive counseling and advising and increased contact in Educational Assistance Classes</w:t>
            </w:r>
          </w:p>
        </w:tc>
        <w:tc>
          <w:tcPr>
            <w:tcW w:w="7111" w:type="dxa"/>
          </w:tcPr>
          <w:p w:rsidR="00112EF7" w:rsidRDefault="00112EF7" w:rsidP="00112EF7">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112EF7" w:rsidRDefault="00112EF7" w:rsidP="0069153A">
            <w:pPr>
              <w:tabs>
                <w:tab w:val="left" w:pos="5940"/>
              </w:tabs>
              <w:ind w:left="288" w:hanging="288"/>
              <w:rPr>
                <w:i/>
              </w:rPr>
            </w:pPr>
            <w:r w:rsidRPr="00112EF7">
              <w:rPr>
                <w:i/>
              </w:rPr>
              <w:t>How do DSPS persistence and completion rates compare to 5-year trend?</w:t>
            </w:r>
          </w:p>
          <w:p w:rsidR="00307CD8" w:rsidRPr="00307CD8" w:rsidRDefault="00307CD8" w:rsidP="0069153A">
            <w:pPr>
              <w:tabs>
                <w:tab w:val="left" w:pos="5940"/>
              </w:tabs>
              <w:ind w:left="288" w:hanging="288"/>
              <w:rPr>
                <w:sz w:val="20"/>
                <w:szCs w:val="20"/>
              </w:rPr>
            </w:pPr>
          </w:p>
        </w:tc>
        <w:tc>
          <w:tcPr>
            <w:tcW w:w="1516" w:type="dxa"/>
          </w:tcPr>
          <w:p w:rsidR="00112EF7" w:rsidRPr="0069778D" w:rsidRDefault="00112EF7" w:rsidP="00112EF7">
            <w:pPr>
              <w:tabs>
                <w:tab w:val="left" w:pos="5940"/>
              </w:tabs>
              <w:rPr>
                <w:i/>
                <w:sz w:val="20"/>
                <w:szCs w:val="20"/>
              </w:rPr>
            </w:pPr>
            <w:r w:rsidRPr="0069778D">
              <w:rPr>
                <w:i/>
                <w:sz w:val="20"/>
                <w:szCs w:val="20"/>
              </w:rPr>
              <w:t>__In progress,</w:t>
            </w:r>
          </w:p>
          <w:p w:rsidR="00112EF7" w:rsidRPr="0069778D" w:rsidRDefault="00112EF7" w:rsidP="00112EF7">
            <w:pPr>
              <w:tabs>
                <w:tab w:val="left" w:pos="5940"/>
              </w:tabs>
              <w:rPr>
                <w:i/>
                <w:sz w:val="20"/>
                <w:szCs w:val="20"/>
              </w:rPr>
            </w:pPr>
            <w:r w:rsidRPr="0069778D">
              <w:rPr>
                <w:i/>
                <w:sz w:val="20"/>
                <w:szCs w:val="20"/>
              </w:rPr>
              <w:t>__Completed</w:t>
            </w:r>
          </w:p>
          <w:p w:rsidR="00112EF7" w:rsidRPr="0069778D" w:rsidRDefault="00112EF7" w:rsidP="00112EF7">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E325A6" w:rsidRPr="00FB56A3" w:rsidRDefault="00112EF7" w:rsidP="0069153A">
            <w:pPr>
              <w:tabs>
                <w:tab w:val="left" w:pos="5940"/>
              </w:tabs>
              <w:ind w:left="288" w:hanging="288"/>
              <w:rPr>
                <w:color w:val="FF0000"/>
              </w:rPr>
            </w:pPr>
            <w:r>
              <w:rPr>
                <w:color w:val="FF0000"/>
              </w:rPr>
              <w:t>Math &amp; Sciences</w:t>
            </w:r>
          </w:p>
          <w:p w:rsidR="003D0325" w:rsidRDefault="00112EF7" w:rsidP="0069153A">
            <w:pPr>
              <w:tabs>
                <w:tab w:val="left" w:pos="5940"/>
              </w:tabs>
              <w:ind w:left="288" w:hanging="288"/>
              <w:rPr>
                <w:color w:val="C0504D" w:themeColor="accent2"/>
              </w:rPr>
            </w:pPr>
            <w:r>
              <w:t>Provide a maintenance and service contract for microscopes.</w:t>
            </w:r>
          </w:p>
        </w:tc>
        <w:tc>
          <w:tcPr>
            <w:tcW w:w="7111" w:type="dxa"/>
          </w:tcPr>
          <w:p w:rsidR="00112EF7" w:rsidRDefault="005A2FEE" w:rsidP="0069153A">
            <w:pPr>
              <w:tabs>
                <w:tab w:val="left" w:pos="5940"/>
              </w:tabs>
              <w:ind w:left="288" w:hanging="288"/>
            </w:pPr>
            <w:r>
              <w:rPr>
                <w:iCs/>
              </w:rPr>
              <w:t xml:space="preserve">In consultation with the biological sciences instructional support specialist, a cyclical plan </w:t>
            </w:r>
            <w:r w:rsidR="005057EA">
              <w:rPr>
                <w:iCs/>
              </w:rPr>
              <w:t xml:space="preserve">is in place </w:t>
            </w:r>
            <w:r>
              <w:rPr>
                <w:iCs/>
              </w:rPr>
              <w:t xml:space="preserve">for regular minor maintenance combined with a regular review and assessment of equipment by professionally trained and equipped microscopy technicians. </w:t>
            </w:r>
            <w:r w:rsidR="005057EA">
              <w:rPr>
                <w:iCs/>
              </w:rPr>
              <w:t>C</w:t>
            </w:r>
            <w:r>
              <w:rPr>
                <w:iCs/>
              </w:rPr>
              <w:t xml:space="preserve">osts </w:t>
            </w:r>
            <w:r w:rsidR="005057EA">
              <w:rPr>
                <w:iCs/>
              </w:rPr>
              <w:t xml:space="preserve">have been compared </w:t>
            </w:r>
            <w:r>
              <w:rPr>
                <w:iCs/>
              </w:rPr>
              <w:t>to</w:t>
            </w:r>
            <w:r w:rsidR="005057EA">
              <w:rPr>
                <w:iCs/>
              </w:rPr>
              <w:t xml:space="preserve"> find the best overall solution.</w:t>
            </w:r>
          </w:p>
          <w:p w:rsidR="00AB760A" w:rsidRDefault="00AB760A" w:rsidP="00AB760A">
            <w:pPr>
              <w:tabs>
                <w:tab w:val="left" w:pos="5940"/>
              </w:tabs>
              <w:ind w:left="288" w:hanging="288"/>
              <w:rPr>
                <w:i/>
              </w:rPr>
            </w:pPr>
            <w:r>
              <w:rPr>
                <w:i/>
              </w:rPr>
              <w:t xml:space="preserve"> </w:t>
            </w:r>
          </w:p>
          <w:p w:rsidR="00112EF7" w:rsidRDefault="00112EF7" w:rsidP="00AB760A">
            <w:pPr>
              <w:tabs>
                <w:tab w:val="left" w:pos="5940"/>
              </w:tabs>
              <w:ind w:left="288" w:hanging="288"/>
              <w:rPr>
                <w:i/>
              </w:rPr>
            </w:pPr>
          </w:p>
          <w:p w:rsidR="00112EF7" w:rsidRDefault="00112EF7" w:rsidP="00AB760A">
            <w:pPr>
              <w:tabs>
                <w:tab w:val="left" w:pos="5940"/>
              </w:tabs>
              <w:ind w:left="288" w:hanging="288"/>
            </w:pPr>
          </w:p>
          <w:p w:rsidR="00677734" w:rsidRPr="00FB56A3" w:rsidRDefault="00677734" w:rsidP="0069153A">
            <w:pPr>
              <w:tabs>
                <w:tab w:val="left" w:pos="5940"/>
              </w:tabs>
              <w:ind w:left="288" w:hanging="288"/>
              <w:rPr>
                <w:i/>
                <w:sz w:val="20"/>
                <w:szCs w:val="20"/>
              </w:rPr>
            </w:pPr>
          </w:p>
        </w:tc>
        <w:tc>
          <w:tcPr>
            <w:tcW w:w="1516" w:type="dxa"/>
          </w:tcPr>
          <w:p w:rsidR="003D0325" w:rsidRPr="0069778D" w:rsidRDefault="003D0325" w:rsidP="0069153A">
            <w:pPr>
              <w:tabs>
                <w:tab w:val="left" w:pos="5940"/>
              </w:tabs>
              <w:rPr>
                <w:i/>
                <w:sz w:val="20"/>
                <w:szCs w:val="20"/>
              </w:rPr>
            </w:pPr>
            <w:r w:rsidRPr="0069778D">
              <w:rPr>
                <w:i/>
                <w:sz w:val="20"/>
                <w:szCs w:val="20"/>
              </w:rPr>
              <w:t>__In progress,</w:t>
            </w:r>
          </w:p>
          <w:p w:rsidR="003D0325" w:rsidRPr="0069778D" w:rsidRDefault="003D0325" w:rsidP="0069153A">
            <w:pPr>
              <w:tabs>
                <w:tab w:val="left" w:pos="5940"/>
              </w:tabs>
              <w:rPr>
                <w:i/>
                <w:sz w:val="20"/>
                <w:szCs w:val="20"/>
              </w:rPr>
            </w:pPr>
            <w:r w:rsidRPr="0069778D">
              <w:rPr>
                <w:i/>
                <w:sz w:val="20"/>
                <w:szCs w:val="20"/>
              </w:rPr>
              <w:t>_</w:t>
            </w:r>
            <w:r w:rsidR="005057EA">
              <w:rPr>
                <w:i/>
                <w:sz w:val="20"/>
                <w:szCs w:val="20"/>
              </w:rPr>
              <w:t>x</w:t>
            </w:r>
            <w:r w:rsidRPr="0069778D">
              <w:rPr>
                <w:i/>
                <w:sz w:val="20"/>
                <w:szCs w:val="20"/>
              </w:rPr>
              <w:t>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3D0325" w:rsidRPr="00985B0B" w:rsidTr="003D0325">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E325A6" w:rsidRPr="003D0325" w:rsidRDefault="00112EF7" w:rsidP="0069153A">
            <w:pPr>
              <w:tabs>
                <w:tab w:val="left" w:pos="5940"/>
              </w:tabs>
              <w:ind w:left="288" w:hanging="288"/>
              <w:rPr>
                <w:color w:val="FF0000"/>
              </w:rPr>
            </w:pPr>
            <w:r>
              <w:rPr>
                <w:color w:val="FF0000"/>
              </w:rPr>
              <w:t>President</w:t>
            </w:r>
          </w:p>
          <w:p w:rsidR="003D0325" w:rsidRDefault="00112EF7" w:rsidP="0069153A">
            <w:pPr>
              <w:tabs>
                <w:tab w:val="left" w:pos="5940"/>
              </w:tabs>
              <w:ind w:left="288" w:hanging="288"/>
              <w:rPr>
                <w:color w:val="C0504D" w:themeColor="accent2"/>
              </w:rPr>
            </w:pPr>
            <w:r w:rsidRPr="00D6325E">
              <w:rPr>
                <w:rFonts w:eastAsia="Times New Roman"/>
                <w:bCs/>
                <w:color w:val="000000"/>
              </w:rPr>
              <w:t>Create budget item for diversity, equity, and inclusion initiatives.</w:t>
            </w:r>
          </w:p>
        </w:tc>
        <w:tc>
          <w:tcPr>
            <w:tcW w:w="7111" w:type="dxa"/>
          </w:tcPr>
          <w:p w:rsidR="00B51834" w:rsidRDefault="00B51834" w:rsidP="00B51834">
            <w:pPr>
              <w:rPr>
                <w:rFonts w:ascii="Times New Roman" w:hAnsi="Times New Roman" w:cs="Times New Roman"/>
                <w:color w:val="1F497D"/>
                <w:sz w:val="24"/>
                <w:szCs w:val="24"/>
              </w:rPr>
            </w:pPr>
            <w:r>
              <w:rPr>
                <w:rFonts w:ascii="Times New Roman" w:hAnsi="Times New Roman" w:cs="Times New Roman"/>
                <w:color w:val="1F497D"/>
                <w:sz w:val="24"/>
                <w:szCs w:val="24"/>
              </w:rPr>
              <w:t xml:space="preserve">We set aside $100,000 to address DEI initiatives.  See: </w:t>
            </w:r>
          </w:p>
          <w:p w:rsidR="00B51834" w:rsidRDefault="00B51834" w:rsidP="00B51834">
            <w:pPr>
              <w:rPr>
                <w:rFonts w:ascii="Times New Roman" w:hAnsi="Times New Roman" w:cs="Times New Roman"/>
                <w:color w:val="1F497D"/>
                <w:sz w:val="24"/>
                <w:szCs w:val="24"/>
              </w:rPr>
            </w:pPr>
          </w:p>
          <w:p w:rsidR="00B51834" w:rsidRDefault="00DE7258" w:rsidP="00B51834">
            <w:pPr>
              <w:rPr>
                <w:rFonts w:ascii="Times New Roman" w:hAnsi="Times New Roman" w:cs="Times New Roman"/>
                <w:color w:val="1F497D"/>
                <w:sz w:val="24"/>
                <w:szCs w:val="24"/>
              </w:rPr>
            </w:pPr>
            <w:hyperlink r:id="rId8" w:history="1">
              <w:r w:rsidR="00B51834">
                <w:rPr>
                  <w:rStyle w:val="Hyperlink"/>
                  <w:rFonts w:ascii="Times New Roman" w:hAnsi="Times New Roman" w:cs="Times New Roman"/>
                  <w:sz w:val="24"/>
                  <w:szCs w:val="24"/>
                </w:rPr>
                <w:t>https://www.redwoods.edu/Portals/34/Reports/2021-2022%20Final%20Budget%20and%20Multi-Year%20Forecast%205.07%20COLA%20w%20pages.pdf?ver=2021-09-08-110124-167</w:t>
              </w:r>
            </w:hyperlink>
            <w:r w:rsidR="00B51834">
              <w:rPr>
                <w:rFonts w:ascii="Times New Roman" w:hAnsi="Times New Roman" w:cs="Times New Roman"/>
                <w:color w:val="1F497D"/>
                <w:sz w:val="24"/>
                <w:szCs w:val="24"/>
              </w:rPr>
              <w:t xml:space="preserve"> </w:t>
            </w:r>
          </w:p>
          <w:p w:rsidR="00AB760A" w:rsidRPr="00307CD8" w:rsidRDefault="00AB760A" w:rsidP="0069153A">
            <w:pPr>
              <w:tabs>
                <w:tab w:val="left" w:pos="5940"/>
              </w:tabs>
              <w:ind w:left="288" w:hanging="288"/>
              <w:rPr>
                <w:sz w:val="20"/>
                <w:szCs w:val="20"/>
              </w:rPr>
            </w:pPr>
          </w:p>
          <w:p w:rsidR="00112EF7" w:rsidRDefault="00112EF7" w:rsidP="0069153A">
            <w:pPr>
              <w:tabs>
                <w:tab w:val="left" w:pos="5940"/>
              </w:tabs>
              <w:ind w:left="288" w:hanging="288"/>
              <w:rPr>
                <w:i/>
                <w:sz w:val="20"/>
                <w:szCs w:val="20"/>
              </w:rPr>
            </w:pPr>
          </w:p>
          <w:p w:rsidR="00112EF7" w:rsidRDefault="00112EF7" w:rsidP="0069153A">
            <w:pPr>
              <w:tabs>
                <w:tab w:val="left" w:pos="5940"/>
              </w:tabs>
              <w:ind w:left="288" w:hanging="288"/>
              <w:rPr>
                <w:i/>
                <w:sz w:val="20"/>
                <w:szCs w:val="20"/>
              </w:rPr>
            </w:pPr>
          </w:p>
          <w:p w:rsidR="00112EF7" w:rsidRDefault="00112EF7" w:rsidP="0069153A">
            <w:pPr>
              <w:tabs>
                <w:tab w:val="left" w:pos="5940"/>
              </w:tabs>
              <w:ind w:left="288" w:hanging="288"/>
              <w:rPr>
                <w:i/>
                <w:sz w:val="20"/>
                <w:szCs w:val="20"/>
              </w:rPr>
            </w:pPr>
          </w:p>
          <w:p w:rsidR="00112EF7" w:rsidRPr="003D0325" w:rsidRDefault="00112EF7" w:rsidP="0069153A">
            <w:pPr>
              <w:tabs>
                <w:tab w:val="left" w:pos="5940"/>
              </w:tabs>
              <w:ind w:left="288" w:hanging="288"/>
              <w:rPr>
                <w:i/>
                <w:sz w:val="20"/>
                <w:szCs w:val="20"/>
              </w:rPr>
            </w:pPr>
          </w:p>
        </w:tc>
        <w:tc>
          <w:tcPr>
            <w:tcW w:w="1516" w:type="dxa"/>
          </w:tcPr>
          <w:p w:rsidR="003D0325" w:rsidRPr="0069778D" w:rsidRDefault="00112EF7" w:rsidP="0069153A">
            <w:pPr>
              <w:tabs>
                <w:tab w:val="left" w:pos="5940"/>
              </w:tabs>
              <w:rPr>
                <w:i/>
                <w:sz w:val="20"/>
                <w:szCs w:val="20"/>
              </w:rPr>
            </w:pPr>
            <w:r>
              <w:rPr>
                <w:i/>
                <w:sz w:val="20"/>
                <w:szCs w:val="20"/>
              </w:rPr>
              <w:lastRenderedPageBreak/>
              <w:t>_</w:t>
            </w:r>
            <w:r w:rsidR="003D0325" w:rsidRPr="0069778D">
              <w:rPr>
                <w:i/>
                <w:sz w:val="20"/>
                <w:szCs w:val="20"/>
              </w:rPr>
              <w:t>_In progress,</w:t>
            </w:r>
          </w:p>
          <w:p w:rsidR="003D0325" w:rsidRPr="0069778D" w:rsidRDefault="003D0325" w:rsidP="0069153A">
            <w:pPr>
              <w:tabs>
                <w:tab w:val="left" w:pos="5940"/>
              </w:tabs>
              <w:rPr>
                <w:i/>
                <w:sz w:val="20"/>
                <w:szCs w:val="20"/>
              </w:rPr>
            </w:pPr>
            <w:r w:rsidRPr="0069778D">
              <w:rPr>
                <w:i/>
                <w:sz w:val="20"/>
                <w:szCs w:val="20"/>
              </w:rPr>
              <w:t>__Completed</w:t>
            </w:r>
          </w:p>
          <w:p w:rsidR="003D0325" w:rsidRPr="0069778D" w:rsidRDefault="003D0325" w:rsidP="0069153A">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E325A6" w:rsidRPr="003D0325" w:rsidRDefault="00112EF7" w:rsidP="00611A5C">
            <w:pPr>
              <w:tabs>
                <w:tab w:val="left" w:pos="5940"/>
              </w:tabs>
              <w:ind w:left="288" w:hanging="288"/>
              <w:rPr>
                <w:color w:val="FF0000"/>
              </w:rPr>
            </w:pPr>
            <w:r>
              <w:rPr>
                <w:color w:val="FF0000"/>
              </w:rPr>
              <w:t>President</w:t>
            </w:r>
          </w:p>
          <w:p w:rsidR="00F446FE" w:rsidRDefault="00112EF7" w:rsidP="00112EF7">
            <w:pPr>
              <w:tabs>
                <w:tab w:val="left" w:pos="5940"/>
              </w:tabs>
              <w:ind w:left="288" w:hanging="288"/>
              <w:rPr>
                <w:color w:val="C0504D" w:themeColor="accent2"/>
              </w:rPr>
            </w:pPr>
            <w:r w:rsidRPr="00D6325E">
              <w:rPr>
                <w:rFonts w:eastAsia="Times New Roman"/>
                <w:bCs/>
                <w:color w:val="000000"/>
              </w:rPr>
              <w:t>Create budget item for resources used toward enhancing the health and well-being, safety, and security across the District.</w:t>
            </w: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B760A" w:rsidRPr="00112EF7" w:rsidRDefault="00112EF7" w:rsidP="00611A5C">
            <w:pPr>
              <w:tabs>
                <w:tab w:val="left" w:pos="5940"/>
              </w:tabs>
              <w:rPr>
                <w:i/>
              </w:rPr>
            </w:pPr>
            <w:r w:rsidRPr="00112EF7">
              <w:rPr>
                <w:rFonts w:eastAsia="Times New Roman"/>
                <w:bCs/>
                <w:i/>
                <w:color w:val="000000"/>
              </w:rPr>
              <w:t>What resources have been allocated toward enhancing the health and well-being, safety, and security across the District?</w:t>
            </w:r>
          </w:p>
          <w:p w:rsidR="00AB760A" w:rsidRPr="00307CD8" w:rsidRDefault="00AB760A" w:rsidP="00611A5C">
            <w:pPr>
              <w:tabs>
                <w:tab w:val="left" w:pos="5940"/>
              </w:tabs>
              <w:rPr>
                <w:sz w:val="20"/>
                <w:szCs w:val="20"/>
              </w:rPr>
            </w:pPr>
          </w:p>
          <w:p w:rsidR="00112EF7" w:rsidRDefault="00112EF7" w:rsidP="00611A5C">
            <w:pPr>
              <w:tabs>
                <w:tab w:val="left" w:pos="5940"/>
              </w:tabs>
              <w:rPr>
                <w:i/>
                <w:sz w:val="20"/>
                <w:szCs w:val="20"/>
              </w:rPr>
            </w:pPr>
          </w:p>
          <w:p w:rsidR="0094060E" w:rsidRDefault="0094060E" w:rsidP="0094060E">
            <w:pPr>
              <w:rPr>
                <w:rFonts w:ascii="Times New Roman" w:hAnsi="Times New Roman" w:cs="Times New Roman"/>
                <w:sz w:val="24"/>
                <w:szCs w:val="24"/>
              </w:rPr>
            </w:pPr>
            <w:r>
              <w:rPr>
                <w:rFonts w:ascii="Times New Roman" w:hAnsi="Times New Roman" w:cs="Times New Roman"/>
                <w:sz w:val="24"/>
                <w:szCs w:val="24"/>
              </w:rPr>
              <w:t>HEERF, student health fee and one-time mental health funds from the CCCCO were used to address this planning action.</w:t>
            </w:r>
          </w:p>
          <w:p w:rsidR="00112EF7" w:rsidRPr="003D0325" w:rsidRDefault="00112EF7" w:rsidP="00611A5C">
            <w:pPr>
              <w:tabs>
                <w:tab w:val="left" w:pos="5940"/>
              </w:tabs>
              <w:rPr>
                <w:i/>
                <w:sz w:val="20"/>
                <w:szCs w:val="20"/>
              </w:rPr>
            </w:pP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r w:rsidR="00F446FE" w:rsidRPr="00985B0B" w:rsidTr="00F446FE">
        <w:tblPrEx>
          <w:tblBorders>
            <w:top w:val="single" w:sz="4" w:space="0" w:color="auto"/>
            <w:left w:val="single" w:sz="4" w:space="0" w:color="auto"/>
            <w:bottom w:val="single" w:sz="4" w:space="0" w:color="auto"/>
            <w:right w:val="single" w:sz="4" w:space="0" w:color="auto"/>
          </w:tblBorders>
        </w:tblPrEx>
        <w:trPr>
          <w:trHeight w:val="341"/>
        </w:trPr>
        <w:tc>
          <w:tcPr>
            <w:tcW w:w="2461" w:type="dxa"/>
          </w:tcPr>
          <w:p w:rsidR="00F446FE" w:rsidRDefault="00E325A6" w:rsidP="00611A5C">
            <w:pPr>
              <w:tabs>
                <w:tab w:val="left" w:pos="5940"/>
              </w:tabs>
              <w:rPr>
                <w:color w:val="FF0000"/>
              </w:rPr>
            </w:pPr>
            <w:r>
              <w:rPr>
                <w:color w:val="FF0000"/>
              </w:rPr>
              <w:t>VPSS</w:t>
            </w:r>
          </w:p>
          <w:p w:rsidR="00112EF7" w:rsidRDefault="00112EF7" w:rsidP="00112EF7">
            <w:pPr>
              <w:rPr>
                <w:rFonts w:cs="Calibri"/>
                <w:color w:val="000000"/>
              </w:rPr>
            </w:pPr>
            <w:r>
              <w:rPr>
                <w:rFonts w:cs="Calibri"/>
                <w:color w:val="000000"/>
              </w:rPr>
              <w:t>Improve appointment scheduling for counseling and advising, possibly replacing SARS.</w:t>
            </w:r>
          </w:p>
          <w:p w:rsidR="00F446FE" w:rsidRDefault="00F446FE" w:rsidP="00611A5C">
            <w:pPr>
              <w:tabs>
                <w:tab w:val="left" w:pos="5940"/>
              </w:tabs>
              <w:ind w:left="288" w:hanging="288"/>
              <w:rPr>
                <w:color w:val="C0504D" w:themeColor="accent2"/>
              </w:rPr>
            </w:pPr>
          </w:p>
        </w:tc>
        <w:tc>
          <w:tcPr>
            <w:tcW w:w="7111" w:type="dxa"/>
          </w:tcPr>
          <w:p w:rsidR="00F446FE" w:rsidRDefault="00F446FE" w:rsidP="00611A5C">
            <w:pPr>
              <w:tabs>
                <w:tab w:val="left" w:pos="5940"/>
              </w:tabs>
              <w:ind w:left="288" w:hanging="288"/>
              <w:rPr>
                <w:sz w:val="20"/>
                <w:szCs w:val="20"/>
              </w:rPr>
            </w:pPr>
            <w:r w:rsidRPr="0069778D">
              <w:rPr>
                <w:sz w:val="20"/>
                <w:szCs w:val="20"/>
              </w:rPr>
              <w:t xml:space="preserve">Please provide an update below. Can you discuss results of the evaluation plan, or an altered evaluation plan:  </w:t>
            </w:r>
          </w:p>
          <w:p w:rsidR="00AB760A" w:rsidRPr="00112EF7" w:rsidRDefault="00112EF7" w:rsidP="00611A5C">
            <w:pPr>
              <w:tabs>
                <w:tab w:val="left" w:pos="5940"/>
              </w:tabs>
              <w:rPr>
                <w:i/>
              </w:rPr>
            </w:pPr>
            <w:r w:rsidRPr="00112EF7">
              <w:rPr>
                <w:i/>
              </w:rPr>
              <w:t>What criteria was used to evaluate the effectiveness of this improvement?</w:t>
            </w:r>
          </w:p>
          <w:p w:rsidR="00AB760A" w:rsidRPr="00307CD8" w:rsidRDefault="00AB760A" w:rsidP="00611A5C">
            <w:pPr>
              <w:tabs>
                <w:tab w:val="left" w:pos="5940"/>
              </w:tabs>
              <w:rPr>
                <w:sz w:val="20"/>
                <w:szCs w:val="20"/>
              </w:rPr>
            </w:pPr>
          </w:p>
          <w:p w:rsidR="00112EF7" w:rsidRDefault="00112EF7" w:rsidP="00611A5C">
            <w:pPr>
              <w:tabs>
                <w:tab w:val="left" w:pos="5940"/>
              </w:tabs>
              <w:rPr>
                <w:i/>
                <w:sz w:val="20"/>
                <w:szCs w:val="20"/>
              </w:rPr>
            </w:pPr>
          </w:p>
          <w:p w:rsidR="00112EF7" w:rsidRDefault="00112EF7" w:rsidP="00611A5C">
            <w:pPr>
              <w:tabs>
                <w:tab w:val="left" w:pos="5940"/>
              </w:tabs>
              <w:rPr>
                <w:i/>
                <w:sz w:val="20"/>
                <w:szCs w:val="20"/>
              </w:rPr>
            </w:pPr>
          </w:p>
          <w:p w:rsidR="00112EF7" w:rsidRDefault="00112EF7" w:rsidP="00611A5C">
            <w:pPr>
              <w:tabs>
                <w:tab w:val="left" w:pos="5940"/>
              </w:tabs>
              <w:rPr>
                <w:i/>
                <w:sz w:val="20"/>
                <w:szCs w:val="20"/>
              </w:rPr>
            </w:pPr>
          </w:p>
          <w:p w:rsidR="00112EF7" w:rsidRPr="003D0325" w:rsidRDefault="00112EF7" w:rsidP="00611A5C">
            <w:pPr>
              <w:tabs>
                <w:tab w:val="left" w:pos="5940"/>
              </w:tabs>
              <w:rPr>
                <w:i/>
                <w:sz w:val="20"/>
                <w:szCs w:val="20"/>
              </w:rPr>
            </w:pPr>
          </w:p>
        </w:tc>
        <w:tc>
          <w:tcPr>
            <w:tcW w:w="1516" w:type="dxa"/>
          </w:tcPr>
          <w:p w:rsidR="00F446FE" w:rsidRPr="0069778D" w:rsidRDefault="00F446FE" w:rsidP="00611A5C">
            <w:pPr>
              <w:tabs>
                <w:tab w:val="left" w:pos="5940"/>
              </w:tabs>
              <w:rPr>
                <w:i/>
                <w:sz w:val="20"/>
                <w:szCs w:val="20"/>
              </w:rPr>
            </w:pPr>
            <w:r w:rsidRPr="0069778D">
              <w:rPr>
                <w:i/>
                <w:sz w:val="20"/>
                <w:szCs w:val="20"/>
              </w:rPr>
              <w:t>__In progress,</w:t>
            </w:r>
          </w:p>
          <w:p w:rsidR="00F446FE" w:rsidRPr="0069778D" w:rsidRDefault="00F446FE" w:rsidP="00611A5C">
            <w:pPr>
              <w:tabs>
                <w:tab w:val="left" w:pos="5940"/>
              </w:tabs>
              <w:rPr>
                <w:i/>
                <w:sz w:val="20"/>
                <w:szCs w:val="20"/>
              </w:rPr>
            </w:pPr>
            <w:r w:rsidRPr="0069778D">
              <w:rPr>
                <w:i/>
                <w:sz w:val="20"/>
                <w:szCs w:val="20"/>
              </w:rPr>
              <w:t>__Completed</w:t>
            </w:r>
          </w:p>
          <w:p w:rsidR="00F446FE" w:rsidRPr="0069778D" w:rsidRDefault="00F446FE" w:rsidP="00611A5C">
            <w:pPr>
              <w:tabs>
                <w:tab w:val="left" w:pos="5940"/>
              </w:tabs>
              <w:rPr>
                <w:i/>
                <w:sz w:val="20"/>
                <w:szCs w:val="20"/>
              </w:rPr>
            </w:pPr>
            <w:r w:rsidRPr="0069778D">
              <w:rPr>
                <w:i/>
                <w:sz w:val="20"/>
                <w:szCs w:val="20"/>
              </w:rPr>
              <w:t>__Change in direction</w:t>
            </w:r>
          </w:p>
        </w:tc>
      </w:tr>
    </w:tbl>
    <w:p w:rsidR="00B25B30" w:rsidRDefault="00B25B30">
      <w:pPr>
        <w:rPr>
          <w:color w:val="000000" w:themeColor="text1"/>
        </w:rPr>
      </w:pPr>
    </w:p>
    <w:p w:rsidR="00B25B30" w:rsidRDefault="00B25B30">
      <w:pPr>
        <w:rPr>
          <w:color w:val="000000" w:themeColor="text1"/>
        </w:rPr>
      </w:pPr>
      <w:r>
        <w:rPr>
          <w:color w:val="000000" w:themeColor="text1"/>
        </w:rPr>
        <w:br w:type="page"/>
      </w:r>
    </w:p>
    <w:tbl>
      <w:tblPr>
        <w:tblStyle w:val="TableGrid"/>
        <w:tblW w:w="11088" w:type="dxa"/>
        <w:tblLook w:val="04A0" w:firstRow="1" w:lastRow="0" w:firstColumn="1" w:lastColumn="0" w:noHBand="0" w:noVBand="1"/>
      </w:tblPr>
      <w:tblGrid>
        <w:gridCol w:w="2448"/>
        <w:gridCol w:w="13"/>
        <w:gridCol w:w="7104"/>
        <w:gridCol w:w="7"/>
        <w:gridCol w:w="1516"/>
      </w:tblGrid>
      <w:tr w:rsidR="003D0325" w:rsidRPr="00D51D30" w:rsidTr="003D0325">
        <w:tc>
          <w:tcPr>
            <w:tcW w:w="11088" w:type="dxa"/>
            <w:gridSpan w:val="5"/>
          </w:tcPr>
          <w:p w:rsidR="003D0325" w:rsidRPr="00D51D30" w:rsidRDefault="003D0325" w:rsidP="0069153A">
            <w:pPr>
              <w:jc w:val="center"/>
              <w:rPr>
                <w:rFonts w:cs="Calibri"/>
                <w:b/>
              </w:rPr>
            </w:pPr>
            <w:r>
              <w:rPr>
                <w:color w:val="000000" w:themeColor="text1"/>
              </w:rPr>
              <w:lastRenderedPageBreak/>
              <w:br w:type="page"/>
            </w:r>
            <w:r w:rsidRPr="00D51D30">
              <w:rPr>
                <w:rFonts w:cs="Calibri"/>
                <w:b/>
              </w:rPr>
              <w:t>Goal: Engage All Students</w:t>
            </w:r>
          </w:p>
        </w:tc>
      </w:tr>
      <w:tr w:rsidR="003D0325" w:rsidRPr="00D51D30" w:rsidTr="003D0325">
        <w:tc>
          <w:tcPr>
            <w:tcW w:w="11088" w:type="dxa"/>
            <w:gridSpan w:val="5"/>
          </w:tcPr>
          <w:p w:rsidR="003D0325" w:rsidRPr="00D51D30" w:rsidRDefault="003D0325" w:rsidP="0069153A">
            <w:pPr>
              <w:tabs>
                <w:tab w:val="left" w:pos="5940"/>
              </w:tabs>
              <w:jc w:val="center"/>
              <w:rPr>
                <w:rFonts w:cs="Calibri"/>
              </w:rPr>
            </w:pPr>
            <w:r w:rsidRPr="00D51D30">
              <w:rPr>
                <w:rFonts w:cs="Calibri"/>
              </w:rPr>
              <w:t>Objectives</w:t>
            </w:r>
          </w:p>
        </w:tc>
      </w:tr>
      <w:tr w:rsidR="003D0325" w:rsidRPr="00D51D30" w:rsidTr="003D0325">
        <w:tc>
          <w:tcPr>
            <w:tcW w:w="11088" w:type="dxa"/>
            <w:gridSpan w:val="5"/>
          </w:tcPr>
          <w:p w:rsidR="003D0325" w:rsidRPr="00CE0182" w:rsidRDefault="003D0325" w:rsidP="00CE0182">
            <w:pPr>
              <w:pStyle w:val="ListParagraph"/>
              <w:numPr>
                <w:ilvl w:val="0"/>
                <w:numId w:val="14"/>
              </w:numPr>
              <w:rPr>
                <w:rFonts w:cs="Calibri"/>
                <w:color w:val="000000"/>
              </w:rPr>
            </w:pPr>
            <w:r w:rsidRPr="00CE0182">
              <w:rPr>
                <w:rFonts w:cs="Calibri"/>
                <w:color w:val="000000"/>
              </w:rPr>
              <w:t>Engage in excellent communication, coordination, and collaboration across campuses</w:t>
            </w:r>
          </w:p>
        </w:tc>
      </w:tr>
      <w:tr w:rsidR="003D0325" w:rsidRPr="00D51D30" w:rsidTr="003D0325">
        <w:tc>
          <w:tcPr>
            <w:tcW w:w="11088" w:type="dxa"/>
            <w:gridSpan w:val="5"/>
          </w:tcPr>
          <w:p w:rsidR="003D0325" w:rsidRPr="00D51D30" w:rsidRDefault="003D0325" w:rsidP="00CE0182">
            <w:pPr>
              <w:pStyle w:val="ListParagraph"/>
              <w:numPr>
                <w:ilvl w:val="0"/>
                <w:numId w:val="14"/>
              </w:numPr>
              <w:contextualSpacing w:val="0"/>
              <w:rPr>
                <w:rFonts w:cs="Calibri"/>
                <w:color w:val="000000"/>
              </w:rPr>
            </w:pPr>
            <w:r w:rsidRPr="00D51D30">
              <w:rPr>
                <w:rFonts w:cs="Calibri"/>
                <w:color w:val="000000"/>
              </w:rPr>
              <w:t>Engage and empower students, particularly those from under-represented communities</w:t>
            </w:r>
          </w:p>
        </w:tc>
      </w:tr>
      <w:tr w:rsidR="00C82330" w:rsidRPr="00C82330" w:rsidTr="003D0325">
        <w:tc>
          <w:tcPr>
            <w:tcW w:w="11088" w:type="dxa"/>
            <w:gridSpan w:val="5"/>
            <w:tcBorders>
              <w:top w:val="single" w:sz="4" w:space="0" w:color="auto"/>
              <w:left w:val="nil"/>
              <w:bottom w:val="nil"/>
              <w:right w:val="nil"/>
            </w:tcBorders>
            <w:shd w:val="clear" w:color="auto" w:fill="D9D9D9" w:themeFill="background1" w:themeFillShade="D9"/>
            <w:hideMark/>
          </w:tcPr>
          <w:p w:rsidR="00E625BE" w:rsidRPr="00C82330" w:rsidRDefault="00E625BE">
            <w:pPr>
              <w:tabs>
                <w:tab w:val="left" w:pos="5940"/>
              </w:tabs>
              <w:jc w:val="center"/>
              <w:rPr>
                <w:color w:val="000000" w:themeColor="text1"/>
              </w:rPr>
            </w:pPr>
            <w:r w:rsidRPr="00C82330">
              <w:rPr>
                <w:color w:val="000000" w:themeColor="text1"/>
              </w:rPr>
              <w:t>Annual Planning Actions</w:t>
            </w:r>
          </w:p>
        </w:tc>
      </w:tr>
      <w:tr w:rsidR="00C82330" w:rsidRPr="00C82330" w:rsidTr="003D0325">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E625BE" w:rsidRPr="00C82330" w:rsidRDefault="00E625BE" w:rsidP="00F44DB7">
            <w:pPr>
              <w:tabs>
                <w:tab w:val="left" w:pos="5940"/>
              </w:tabs>
              <w:rPr>
                <w:color w:val="000000" w:themeColor="text1"/>
              </w:rPr>
            </w:pPr>
            <w:r w:rsidRPr="00C82330">
              <w:rPr>
                <w:color w:val="000000" w:themeColor="text1"/>
              </w:rPr>
              <w:t>Annual Action Plan</w:t>
            </w:r>
          </w:p>
        </w:tc>
        <w:tc>
          <w:tcPr>
            <w:tcW w:w="7117" w:type="dxa"/>
            <w:gridSpan w:val="2"/>
            <w:shd w:val="clear" w:color="auto" w:fill="D9D9D9" w:themeFill="background1" w:themeFillShade="D9"/>
          </w:tcPr>
          <w:p w:rsidR="00E625BE" w:rsidRPr="00C82330" w:rsidRDefault="00E625BE" w:rsidP="00555E63">
            <w:pPr>
              <w:tabs>
                <w:tab w:val="left" w:pos="5940"/>
              </w:tabs>
              <w:rPr>
                <w:color w:val="000000" w:themeColor="text1"/>
              </w:rPr>
            </w:pPr>
            <w:r w:rsidRPr="00C82330">
              <w:rPr>
                <w:color w:val="000000" w:themeColor="text1"/>
              </w:rPr>
              <w:t>Progress Update</w:t>
            </w:r>
          </w:p>
        </w:tc>
        <w:tc>
          <w:tcPr>
            <w:tcW w:w="1523" w:type="dxa"/>
            <w:gridSpan w:val="2"/>
            <w:shd w:val="clear" w:color="auto" w:fill="D9D9D9" w:themeFill="background1" w:themeFillShade="D9"/>
          </w:tcPr>
          <w:p w:rsidR="00BB0D8F" w:rsidRDefault="00E625BE" w:rsidP="00BB0D8F">
            <w:pPr>
              <w:tabs>
                <w:tab w:val="left" w:pos="5940"/>
              </w:tabs>
            </w:pPr>
            <w:r w:rsidRPr="00C82330">
              <w:rPr>
                <w:color w:val="000000" w:themeColor="text1"/>
              </w:rPr>
              <w:t>Status</w:t>
            </w:r>
            <w:r w:rsidR="00BB0D8F">
              <w:rPr>
                <w:color w:val="000000" w:themeColor="text1"/>
              </w:rPr>
              <w:t xml:space="preserve"> </w:t>
            </w:r>
          </w:p>
          <w:p w:rsidR="00E625BE" w:rsidRPr="00C82330" w:rsidRDefault="00BB0D8F" w:rsidP="00BB0D8F">
            <w:pPr>
              <w:tabs>
                <w:tab w:val="left" w:pos="5940"/>
              </w:tabs>
              <w:rPr>
                <w:color w:val="000000" w:themeColor="text1"/>
              </w:rPr>
            </w:pPr>
            <w:r>
              <w:t>(mark one)</w:t>
            </w:r>
          </w:p>
        </w:tc>
      </w:tr>
      <w:tr w:rsidR="003D0325" w:rsidRPr="00DE7258" w:rsidTr="003D0325">
        <w:trPr>
          <w:trHeight w:val="341"/>
        </w:trPr>
        <w:tc>
          <w:tcPr>
            <w:tcW w:w="2448" w:type="dxa"/>
          </w:tcPr>
          <w:p w:rsidR="003D0325" w:rsidRPr="00DE7258" w:rsidRDefault="00112EF7" w:rsidP="00312DBD">
            <w:pPr>
              <w:tabs>
                <w:tab w:val="left" w:pos="5940"/>
              </w:tabs>
              <w:rPr>
                <w:rFonts w:cstheme="minorHAnsi"/>
                <w:color w:val="FF0000"/>
              </w:rPr>
            </w:pPr>
            <w:r w:rsidRPr="00DE7258">
              <w:rPr>
                <w:rFonts w:cstheme="minorHAnsi"/>
                <w:color w:val="FF0000"/>
              </w:rPr>
              <w:t>DSPS</w:t>
            </w:r>
          </w:p>
          <w:p w:rsidR="003D0325" w:rsidRPr="00DE7258" w:rsidRDefault="008B6CC4" w:rsidP="00312DBD">
            <w:pPr>
              <w:tabs>
                <w:tab w:val="left" w:pos="5940"/>
              </w:tabs>
              <w:rPr>
                <w:rFonts w:cstheme="minorHAnsi"/>
              </w:rPr>
            </w:pPr>
            <w:r w:rsidRPr="00DE7258">
              <w:rPr>
                <w:rFonts w:cstheme="minorHAnsi"/>
              </w:rPr>
              <w:t>Increase knowledge and awareness of DSPS services through coordinated campaign on campus.</w:t>
            </w:r>
          </w:p>
        </w:tc>
        <w:tc>
          <w:tcPr>
            <w:tcW w:w="7117" w:type="dxa"/>
            <w:gridSpan w:val="2"/>
          </w:tcPr>
          <w:p w:rsidR="003D0325" w:rsidRPr="00DE7258" w:rsidRDefault="003D0325" w:rsidP="0069153A">
            <w:pPr>
              <w:tabs>
                <w:tab w:val="left" w:pos="5940"/>
              </w:tabs>
              <w:ind w:left="288" w:hanging="288"/>
              <w:rPr>
                <w:rFonts w:cstheme="minorHAnsi"/>
              </w:rPr>
            </w:pPr>
            <w:r w:rsidRPr="00DE7258">
              <w:rPr>
                <w:rFonts w:cstheme="minorHAnsi"/>
              </w:rPr>
              <w:t xml:space="preserve">Please provide an update below. Can you discuss results of the evaluation plan, or an altered evaluation plan:  </w:t>
            </w:r>
          </w:p>
          <w:p w:rsidR="003D0325" w:rsidRPr="00DE7258" w:rsidRDefault="008B6CC4" w:rsidP="0069153A">
            <w:pPr>
              <w:tabs>
                <w:tab w:val="left" w:pos="5940"/>
              </w:tabs>
              <w:ind w:left="288" w:hanging="288"/>
              <w:rPr>
                <w:rFonts w:cstheme="minorHAnsi"/>
                <w:i/>
              </w:rPr>
            </w:pPr>
            <w:r w:rsidRPr="00DE7258">
              <w:rPr>
                <w:rFonts w:cstheme="minorHAnsi"/>
                <w:i/>
              </w:rPr>
              <w:t>What and how many events were conducted?</w:t>
            </w:r>
          </w:p>
          <w:p w:rsidR="00AB760A" w:rsidRPr="00DE7258" w:rsidRDefault="00AB760A" w:rsidP="0069153A">
            <w:pPr>
              <w:tabs>
                <w:tab w:val="left" w:pos="5940"/>
              </w:tabs>
              <w:ind w:left="288" w:hanging="288"/>
              <w:rPr>
                <w:rFonts w:eastAsia="Times New Roman" w:cstheme="minorHAnsi"/>
              </w:rPr>
            </w:pPr>
          </w:p>
        </w:tc>
        <w:tc>
          <w:tcPr>
            <w:tcW w:w="1523" w:type="dxa"/>
            <w:gridSpan w:val="2"/>
          </w:tcPr>
          <w:p w:rsidR="003D0325" w:rsidRPr="00DE7258" w:rsidRDefault="003D0325" w:rsidP="0069153A">
            <w:pPr>
              <w:tabs>
                <w:tab w:val="left" w:pos="5940"/>
              </w:tabs>
              <w:rPr>
                <w:rFonts w:cstheme="minorHAnsi"/>
                <w:i/>
              </w:rPr>
            </w:pPr>
            <w:r w:rsidRPr="00DE7258">
              <w:rPr>
                <w:rFonts w:cstheme="minorHAnsi"/>
                <w:i/>
              </w:rPr>
              <w:t>__In progress,</w:t>
            </w:r>
          </w:p>
          <w:p w:rsidR="003D0325" w:rsidRPr="00DE7258" w:rsidRDefault="003D0325" w:rsidP="0069153A">
            <w:pPr>
              <w:tabs>
                <w:tab w:val="left" w:pos="5940"/>
              </w:tabs>
              <w:rPr>
                <w:rFonts w:cstheme="minorHAnsi"/>
                <w:i/>
              </w:rPr>
            </w:pPr>
            <w:r w:rsidRPr="00DE7258">
              <w:rPr>
                <w:rFonts w:cstheme="minorHAnsi"/>
                <w:i/>
              </w:rPr>
              <w:t>__Completed</w:t>
            </w:r>
          </w:p>
          <w:p w:rsidR="003D0325" w:rsidRPr="00DE7258" w:rsidRDefault="003D0325" w:rsidP="008B6CC4">
            <w:pPr>
              <w:tabs>
                <w:tab w:val="left" w:pos="5940"/>
              </w:tabs>
              <w:rPr>
                <w:rFonts w:cstheme="minorHAnsi"/>
                <w:i/>
              </w:rPr>
            </w:pPr>
            <w:r w:rsidRPr="00DE7258">
              <w:rPr>
                <w:rFonts w:cstheme="minorHAnsi"/>
                <w:i/>
              </w:rPr>
              <w:t>__Change in direction</w:t>
            </w:r>
          </w:p>
        </w:tc>
      </w:tr>
      <w:tr w:rsidR="003D0325" w:rsidRPr="00DE7258" w:rsidTr="003D0325">
        <w:trPr>
          <w:trHeight w:val="341"/>
        </w:trPr>
        <w:tc>
          <w:tcPr>
            <w:tcW w:w="2448" w:type="dxa"/>
          </w:tcPr>
          <w:p w:rsidR="003D0325" w:rsidRPr="00DE7258" w:rsidRDefault="008B6CC4" w:rsidP="0069153A">
            <w:pPr>
              <w:tabs>
                <w:tab w:val="left" w:pos="5940"/>
              </w:tabs>
              <w:ind w:left="288" w:hanging="288"/>
              <w:rPr>
                <w:rFonts w:cstheme="minorHAnsi"/>
                <w:color w:val="FF0000"/>
              </w:rPr>
            </w:pPr>
            <w:r w:rsidRPr="00DE7258">
              <w:rPr>
                <w:rFonts w:cstheme="minorHAnsi"/>
                <w:color w:val="FF0000"/>
              </w:rPr>
              <w:t>VPI</w:t>
            </w:r>
          </w:p>
          <w:p w:rsidR="008B6CC4" w:rsidRPr="00DE7258" w:rsidRDefault="008B6CC4" w:rsidP="0069153A">
            <w:pPr>
              <w:tabs>
                <w:tab w:val="left" w:pos="5940"/>
              </w:tabs>
              <w:ind w:left="288" w:hanging="288"/>
              <w:rPr>
                <w:rFonts w:eastAsia="Times New Roman" w:cstheme="minorHAnsi"/>
                <w:color w:val="FF0000"/>
              </w:rPr>
            </w:pPr>
            <w:r w:rsidRPr="00DE7258">
              <w:rPr>
                <w:rFonts w:cstheme="minorHAnsi"/>
                <w:color w:val="FF0000"/>
              </w:rPr>
              <w:t>Guided Pathways</w:t>
            </w:r>
          </w:p>
          <w:p w:rsidR="003D0325" w:rsidRPr="00DE7258" w:rsidRDefault="008B6CC4" w:rsidP="0069153A">
            <w:pPr>
              <w:tabs>
                <w:tab w:val="left" w:pos="5940"/>
              </w:tabs>
              <w:ind w:left="288" w:hanging="288"/>
              <w:rPr>
                <w:rFonts w:cstheme="minorHAnsi"/>
              </w:rPr>
            </w:pPr>
            <w:r w:rsidRPr="00DE7258">
              <w:rPr>
                <w:rFonts w:cstheme="minorHAnsi"/>
              </w:rPr>
              <w:t>Develop first-year sequences for Guided Pathways.  Provide materials for student advising.</w:t>
            </w:r>
          </w:p>
        </w:tc>
        <w:tc>
          <w:tcPr>
            <w:tcW w:w="7117" w:type="dxa"/>
            <w:gridSpan w:val="2"/>
          </w:tcPr>
          <w:p w:rsidR="00087AF2" w:rsidRPr="00DE7258" w:rsidRDefault="00087AF2" w:rsidP="00087AF2">
            <w:pPr>
              <w:rPr>
                <w:rFonts w:cstheme="minorHAnsi"/>
                <w:iCs/>
              </w:rPr>
            </w:pPr>
            <w:r w:rsidRPr="00DE7258">
              <w:rPr>
                <w:rFonts w:cstheme="minorHAnsi"/>
                <w:iCs/>
              </w:rPr>
              <w:t xml:space="preserve">Institutional Research is currently developing proposed program maps for all programs as part of the program mapping work for Guided Pathways. These proposed maps suggest the most efficient pathways for completion of each degree or certificate, based on institutional data of course offerings, scheduling, articulation, and prerequisite requirements.  </w:t>
            </w:r>
          </w:p>
          <w:p w:rsidR="00087AF2" w:rsidRPr="00DE7258" w:rsidRDefault="00087AF2" w:rsidP="00087AF2">
            <w:pPr>
              <w:rPr>
                <w:rFonts w:cstheme="minorHAnsi"/>
                <w:iCs/>
              </w:rPr>
            </w:pPr>
          </w:p>
          <w:p w:rsidR="00087AF2" w:rsidRPr="00DE7258" w:rsidRDefault="00087AF2" w:rsidP="00087AF2">
            <w:pPr>
              <w:rPr>
                <w:rFonts w:cstheme="minorHAnsi"/>
                <w:iCs/>
              </w:rPr>
            </w:pPr>
            <w:r w:rsidRPr="00DE7258">
              <w:rPr>
                <w:rFonts w:cstheme="minorHAnsi"/>
                <w:iCs/>
              </w:rPr>
              <w:t xml:space="preserve">In Fall 2022, the Director of Student Success Pathways, Guided Pathways Coordinators, Associate Deans, and Program Faculty will work together to review and finalize the maps based on institutional data and disciplinary knowledge. </w:t>
            </w:r>
          </w:p>
          <w:p w:rsidR="00087AF2" w:rsidRPr="00DE7258" w:rsidRDefault="00087AF2" w:rsidP="00087AF2">
            <w:pPr>
              <w:rPr>
                <w:rFonts w:cstheme="minorHAnsi"/>
                <w:iCs/>
              </w:rPr>
            </w:pPr>
          </w:p>
          <w:p w:rsidR="00AB760A" w:rsidRPr="00DE7258" w:rsidRDefault="00087AF2" w:rsidP="00087AF2">
            <w:pPr>
              <w:rPr>
                <w:rFonts w:cstheme="minorHAnsi"/>
                <w:iCs/>
              </w:rPr>
            </w:pPr>
            <w:r w:rsidRPr="00DE7258">
              <w:rPr>
                <w:rFonts w:cstheme="minorHAnsi"/>
                <w:iCs/>
              </w:rPr>
              <w:t xml:space="preserve">Program maps that clarify student progression through the degree/certificate and do not require curricular/programmatic changes can be available to students as part of advising meetings for the 2023-2024 academic year via the catalog and though printable advising sheets. A comprehensive list of course offerings and relevant data such as term restrictions will be available to Counseling and Advising to assist students as they develop their student education plans for the 2023-2024 academic year. </w:t>
            </w:r>
          </w:p>
          <w:p w:rsidR="00D2700C" w:rsidRPr="00DE7258" w:rsidRDefault="00D2700C" w:rsidP="00D2700C">
            <w:pPr>
              <w:rPr>
                <w:rFonts w:cstheme="minorHAnsi"/>
                <w:color w:val="000000" w:themeColor="text1"/>
              </w:rPr>
            </w:pPr>
          </w:p>
          <w:p w:rsidR="003D0325" w:rsidRPr="00DE7258" w:rsidRDefault="003D0325" w:rsidP="00312DBD">
            <w:pPr>
              <w:rPr>
                <w:rFonts w:eastAsia="Times New Roman" w:cstheme="minorHAnsi"/>
                <w:i/>
              </w:rPr>
            </w:pPr>
          </w:p>
        </w:tc>
        <w:tc>
          <w:tcPr>
            <w:tcW w:w="1523" w:type="dxa"/>
            <w:gridSpan w:val="2"/>
          </w:tcPr>
          <w:p w:rsidR="003D0325" w:rsidRPr="00DE7258" w:rsidRDefault="003D0325" w:rsidP="0069153A">
            <w:pPr>
              <w:tabs>
                <w:tab w:val="left" w:pos="5940"/>
              </w:tabs>
              <w:rPr>
                <w:rFonts w:cstheme="minorHAnsi"/>
                <w:i/>
              </w:rPr>
            </w:pPr>
            <w:r w:rsidRPr="00DE7258">
              <w:rPr>
                <w:rFonts w:cstheme="minorHAnsi"/>
                <w:i/>
              </w:rPr>
              <w:t>__In progress,</w:t>
            </w:r>
          </w:p>
          <w:p w:rsidR="003D0325" w:rsidRPr="00DE7258" w:rsidRDefault="003D0325" w:rsidP="0069153A">
            <w:pPr>
              <w:tabs>
                <w:tab w:val="left" w:pos="5940"/>
              </w:tabs>
              <w:rPr>
                <w:rFonts w:cstheme="minorHAnsi"/>
                <w:i/>
              </w:rPr>
            </w:pPr>
            <w:r w:rsidRPr="00DE7258">
              <w:rPr>
                <w:rFonts w:cstheme="minorHAnsi"/>
                <w:i/>
              </w:rPr>
              <w:t>__Completed</w:t>
            </w:r>
          </w:p>
          <w:p w:rsidR="003D0325" w:rsidRPr="00DE7258" w:rsidRDefault="003D0325" w:rsidP="0069153A">
            <w:pPr>
              <w:tabs>
                <w:tab w:val="left" w:pos="5940"/>
              </w:tabs>
              <w:rPr>
                <w:rFonts w:cstheme="minorHAnsi"/>
                <w:i/>
              </w:rPr>
            </w:pPr>
            <w:r w:rsidRPr="00DE7258">
              <w:rPr>
                <w:rFonts w:cstheme="minorHAnsi"/>
                <w:i/>
              </w:rPr>
              <w:t>__Change in direction</w:t>
            </w:r>
          </w:p>
        </w:tc>
      </w:tr>
      <w:tr w:rsidR="003D0325" w:rsidRPr="00DE7258" w:rsidTr="003D0325">
        <w:trPr>
          <w:trHeight w:val="341"/>
        </w:trPr>
        <w:tc>
          <w:tcPr>
            <w:tcW w:w="2448" w:type="dxa"/>
          </w:tcPr>
          <w:p w:rsidR="003D0325" w:rsidRPr="00DE7258" w:rsidRDefault="008B6CC4" w:rsidP="0069153A">
            <w:pPr>
              <w:tabs>
                <w:tab w:val="left" w:pos="5940"/>
              </w:tabs>
              <w:ind w:left="288" w:hanging="288"/>
              <w:rPr>
                <w:rFonts w:cstheme="minorHAnsi"/>
                <w:color w:val="FF0000"/>
              </w:rPr>
            </w:pPr>
            <w:r w:rsidRPr="00DE7258">
              <w:rPr>
                <w:rFonts w:cstheme="minorHAnsi"/>
                <w:color w:val="FF0000"/>
              </w:rPr>
              <w:t>VPI</w:t>
            </w:r>
          </w:p>
          <w:p w:rsidR="008B6CC4" w:rsidRPr="00DE7258" w:rsidRDefault="008B6CC4" w:rsidP="0069153A">
            <w:pPr>
              <w:tabs>
                <w:tab w:val="left" w:pos="5940"/>
              </w:tabs>
              <w:ind w:left="288" w:hanging="288"/>
              <w:rPr>
                <w:rFonts w:cstheme="minorHAnsi"/>
              </w:rPr>
            </w:pPr>
            <w:r w:rsidRPr="00DE7258">
              <w:rPr>
                <w:rFonts w:cstheme="minorHAnsi"/>
                <w:color w:val="FF0000"/>
              </w:rPr>
              <w:t>Guided Pathways</w:t>
            </w:r>
          </w:p>
          <w:p w:rsidR="003D0325" w:rsidRPr="00DE7258" w:rsidRDefault="008B6CC4" w:rsidP="0069153A">
            <w:pPr>
              <w:tabs>
                <w:tab w:val="left" w:pos="5940"/>
              </w:tabs>
              <w:ind w:left="288" w:hanging="288"/>
              <w:rPr>
                <w:rFonts w:cstheme="minorHAnsi"/>
              </w:rPr>
            </w:pPr>
            <w:r w:rsidRPr="00DE7258">
              <w:rPr>
                <w:rFonts w:cstheme="minorHAnsi"/>
              </w:rPr>
              <w:t>Evaluate degree and certificate requirements to find ways to reduce average unit accumulation to 72.</w:t>
            </w:r>
          </w:p>
        </w:tc>
        <w:tc>
          <w:tcPr>
            <w:tcW w:w="7117" w:type="dxa"/>
            <w:gridSpan w:val="2"/>
          </w:tcPr>
          <w:p w:rsidR="00087AF2" w:rsidRPr="00DE7258" w:rsidRDefault="00087AF2" w:rsidP="00087AF2">
            <w:pPr>
              <w:rPr>
                <w:rFonts w:cstheme="minorHAnsi"/>
                <w:iCs/>
              </w:rPr>
            </w:pPr>
            <w:r w:rsidRPr="00DE7258">
              <w:rPr>
                <w:rFonts w:cstheme="minorHAnsi"/>
                <w:iCs/>
              </w:rPr>
              <w:t>Institutional Research is currently evaluating all programs, including each program’s degree and certificate requirements, as part of the program mapping work for Guided Pathways. This process includes an evaluation of degree/certificate requirements,</w:t>
            </w:r>
            <w:r w:rsidRPr="00DE7258">
              <w:rPr>
                <w:rFonts w:cstheme="minorHAnsi"/>
              </w:rPr>
              <w:t xml:space="preserve"> </w:t>
            </w:r>
            <w:r w:rsidRPr="00DE7258">
              <w:rPr>
                <w:rFonts w:cstheme="minorHAnsi"/>
                <w:iCs/>
              </w:rPr>
              <w:t xml:space="preserve">the total units to completion, major units required by each program, and a listing of courses offered infrequently or unpredictably by each program. </w:t>
            </w:r>
          </w:p>
          <w:p w:rsidR="00087AF2" w:rsidRPr="00DE7258" w:rsidRDefault="00087AF2" w:rsidP="00087AF2">
            <w:pPr>
              <w:rPr>
                <w:rFonts w:cstheme="minorHAnsi"/>
                <w:iCs/>
              </w:rPr>
            </w:pPr>
          </w:p>
          <w:p w:rsidR="00087AF2" w:rsidRPr="00DE7258" w:rsidRDefault="00087AF2" w:rsidP="00087AF2">
            <w:pPr>
              <w:rPr>
                <w:rFonts w:cstheme="minorHAnsi"/>
                <w:iCs/>
              </w:rPr>
            </w:pPr>
            <w:r w:rsidRPr="00DE7258">
              <w:rPr>
                <w:rFonts w:cstheme="minorHAnsi"/>
                <w:iCs/>
              </w:rPr>
              <w:t>Higher unit requirements for the program major and the presence of degree/certificate requirements that are offered/scheduled infrequently/unpredictably create barriers to efficient student completion and can increase total units taken for completion.</w:t>
            </w:r>
          </w:p>
          <w:p w:rsidR="00087AF2" w:rsidRPr="00DE7258" w:rsidRDefault="00087AF2" w:rsidP="00087AF2">
            <w:pPr>
              <w:rPr>
                <w:rFonts w:cstheme="minorHAnsi"/>
                <w:iCs/>
              </w:rPr>
            </w:pPr>
          </w:p>
          <w:p w:rsidR="00087AF2" w:rsidRPr="00DE7258" w:rsidRDefault="00087AF2" w:rsidP="00087AF2">
            <w:pPr>
              <w:rPr>
                <w:rFonts w:cstheme="minorHAnsi"/>
                <w:iCs/>
              </w:rPr>
            </w:pPr>
            <w:r w:rsidRPr="00DE7258">
              <w:rPr>
                <w:rFonts w:cstheme="minorHAnsi"/>
                <w:iCs/>
              </w:rPr>
              <w:t xml:space="preserve"> In Fall 2022, program faculty will review their programs to finalize program maps and, as part of that process, review the information on degree and </w:t>
            </w:r>
            <w:r w:rsidRPr="00DE7258">
              <w:rPr>
                <w:rFonts w:cstheme="minorHAnsi"/>
                <w:iCs/>
              </w:rPr>
              <w:lastRenderedPageBreak/>
              <w:t>certificate requirements as well. The Director of Student Success Pathways, Guided Pathways Coordinators, Associate Deans, and Program Faculty will work together to eliminate student barriers to completion through program mapping and revision. These changes should contribute to a reduction in average unit accumulation.</w:t>
            </w:r>
          </w:p>
          <w:p w:rsidR="00AB760A" w:rsidRPr="00DE7258" w:rsidRDefault="00AB760A" w:rsidP="00087AF2">
            <w:pPr>
              <w:rPr>
                <w:rFonts w:eastAsia="Times New Roman" w:cstheme="minorHAnsi"/>
              </w:rPr>
            </w:pPr>
          </w:p>
        </w:tc>
        <w:tc>
          <w:tcPr>
            <w:tcW w:w="1523" w:type="dxa"/>
            <w:gridSpan w:val="2"/>
          </w:tcPr>
          <w:p w:rsidR="003D0325" w:rsidRPr="00DE7258" w:rsidRDefault="00312DBD" w:rsidP="0069153A">
            <w:pPr>
              <w:tabs>
                <w:tab w:val="left" w:pos="5940"/>
              </w:tabs>
              <w:rPr>
                <w:rFonts w:cstheme="minorHAnsi"/>
                <w:i/>
              </w:rPr>
            </w:pPr>
            <w:r w:rsidRPr="00DE7258">
              <w:rPr>
                <w:rFonts w:cstheme="minorHAnsi"/>
                <w:i/>
              </w:rPr>
              <w:lastRenderedPageBreak/>
              <w:t>_</w:t>
            </w:r>
            <w:r w:rsidR="003D0325" w:rsidRPr="00DE7258">
              <w:rPr>
                <w:rFonts w:cstheme="minorHAnsi"/>
                <w:i/>
              </w:rPr>
              <w:t>_In progress,</w:t>
            </w:r>
          </w:p>
          <w:p w:rsidR="003D0325" w:rsidRPr="00DE7258" w:rsidRDefault="003D0325" w:rsidP="0069153A">
            <w:pPr>
              <w:tabs>
                <w:tab w:val="left" w:pos="5940"/>
              </w:tabs>
              <w:rPr>
                <w:rFonts w:cstheme="minorHAnsi"/>
                <w:i/>
              </w:rPr>
            </w:pPr>
            <w:r w:rsidRPr="00DE7258">
              <w:rPr>
                <w:rFonts w:cstheme="minorHAnsi"/>
                <w:i/>
              </w:rPr>
              <w:t>__Completed</w:t>
            </w:r>
          </w:p>
          <w:p w:rsidR="003D0325" w:rsidRPr="00DE7258" w:rsidRDefault="003D0325" w:rsidP="0069153A">
            <w:pPr>
              <w:tabs>
                <w:tab w:val="left" w:pos="5940"/>
              </w:tabs>
              <w:rPr>
                <w:rFonts w:cstheme="minorHAnsi"/>
                <w:i/>
              </w:rPr>
            </w:pPr>
            <w:r w:rsidRPr="00DE7258">
              <w:rPr>
                <w:rFonts w:cstheme="minorHAnsi"/>
                <w:i/>
              </w:rPr>
              <w:t>__Change in direction</w:t>
            </w:r>
          </w:p>
        </w:tc>
      </w:tr>
      <w:tr w:rsidR="00312DBD" w:rsidRPr="00DE7258" w:rsidTr="00312DBD">
        <w:trPr>
          <w:trHeight w:val="341"/>
        </w:trPr>
        <w:tc>
          <w:tcPr>
            <w:tcW w:w="2448" w:type="dxa"/>
          </w:tcPr>
          <w:p w:rsidR="00312DBD" w:rsidRPr="00DE7258" w:rsidRDefault="00307CD8" w:rsidP="00611A5C">
            <w:pPr>
              <w:tabs>
                <w:tab w:val="left" w:pos="5940"/>
              </w:tabs>
              <w:ind w:left="288" w:hanging="288"/>
              <w:rPr>
                <w:rFonts w:cstheme="minorHAnsi"/>
                <w:color w:val="FF0000"/>
              </w:rPr>
            </w:pPr>
            <w:r w:rsidRPr="00DE7258">
              <w:rPr>
                <w:rFonts w:cstheme="minorHAnsi"/>
                <w:color w:val="FF0000"/>
              </w:rPr>
              <w:t>VPSS</w:t>
            </w:r>
          </w:p>
          <w:p w:rsidR="00307CD8" w:rsidRPr="00DE7258" w:rsidRDefault="00307CD8" w:rsidP="00611A5C">
            <w:pPr>
              <w:tabs>
                <w:tab w:val="left" w:pos="5940"/>
              </w:tabs>
              <w:ind w:left="288" w:hanging="288"/>
              <w:rPr>
                <w:rFonts w:cstheme="minorHAnsi"/>
                <w:color w:val="FF0000"/>
              </w:rPr>
            </w:pPr>
            <w:r w:rsidRPr="00DE7258">
              <w:rPr>
                <w:rFonts w:cstheme="minorHAnsi"/>
                <w:color w:val="FF0000"/>
              </w:rPr>
              <w:t>Counseling &amp; Advising</w:t>
            </w:r>
          </w:p>
          <w:p w:rsidR="00307CD8" w:rsidRPr="00DE7258" w:rsidRDefault="00307CD8" w:rsidP="00611A5C">
            <w:pPr>
              <w:tabs>
                <w:tab w:val="left" w:pos="5940"/>
              </w:tabs>
              <w:ind w:left="288" w:hanging="288"/>
              <w:rPr>
                <w:rFonts w:cstheme="minorHAnsi"/>
                <w:color w:val="FF0000"/>
              </w:rPr>
            </w:pPr>
            <w:r w:rsidRPr="00DE7258">
              <w:rPr>
                <w:rFonts w:cstheme="minorHAnsi"/>
                <w:color w:val="FF0000"/>
              </w:rPr>
              <w:t>Instructional Deans</w:t>
            </w:r>
          </w:p>
          <w:p w:rsidR="00307CD8" w:rsidRPr="00DE7258" w:rsidRDefault="00307CD8" w:rsidP="00307CD8">
            <w:pPr>
              <w:tabs>
                <w:tab w:val="left" w:pos="5940"/>
              </w:tabs>
              <w:rPr>
                <w:rFonts w:cstheme="minorHAnsi"/>
              </w:rPr>
            </w:pPr>
            <w:r w:rsidRPr="00DE7258">
              <w:rPr>
                <w:rFonts w:cstheme="minorHAnsi"/>
              </w:rPr>
              <w:t>Increase outreach to students near completion or who have left.</w:t>
            </w:r>
          </w:p>
          <w:p w:rsidR="00307CD8" w:rsidRPr="00DE7258" w:rsidRDefault="00307CD8" w:rsidP="00307CD8">
            <w:pPr>
              <w:tabs>
                <w:tab w:val="left" w:pos="5940"/>
              </w:tabs>
              <w:rPr>
                <w:rFonts w:cstheme="minorHAnsi"/>
              </w:rPr>
            </w:pPr>
          </w:p>
          <w:p w:rsidR="00312DBD" w:rsidRPr="00DE7258" w:rsidRDefault="00307CD8" w:rsidP="00307CD8">
            <w:pPr>
              <w:tabs>
                <w:tab w:val="left" w:pos="5940"/>
              </w:tabs>
              <w:ind w:left="288" w:hanging="288"/>
              <w:rPr>
                <w:rFonts w:cstheme="minorHAnsi"/>
              </w:rPr>
            </w:pPr>
            <w:r w:rsidRPr="00DE7258">
              <w:rPr>
                <w:rFonts w:cstheme="minorHAnsi"/>
              </w:rPr>
              <w:t>Increase targeted outreach to current students through calling campaigns.</w:t>
            </w:r>
          </w:p>
        </w:tc>
        <w:tc>
          <w:tcPr>
            <w:tcW w:w="7117" w:type="dxa"/>
            <w:gridSpan w:val="2"/>
          </w:tcPr>
          <w:p w:rsidR="00312DBD" w:rsidRPr="00DE7258" w:rsidRDefault="00312DBD" w:rsidP="00611A5C">
            <w:pPr>
              <w:tabs>
                <w:tab w:val="left" w:pos="5940"/>
              </w:tabs>
              <w:ind w:left="288" w:hanging="288"/>
              <w:rPr>
                <w:rFonts w:cstheme="minorHAnsi"/>
              </w:rPr>
            </w:pPr>
            <w:r w:rsidRPr="00DE7258">
              <w:rPr>
                <w:rFonts w:cstheme="minorHAnsi"/>
              </w:rPr>
              <w:t xml:space="preserve">Please provide an update below. Can you discuss results of the evaluation plan, or an altered evaluation plan:  </w:t>
            </w:r>
          </w:p>
          <w:p w:rsidR="00AB760A" w:rsidRPr="00DE7258" w:rsidRDefault="00307CD8" w:rsidP="00611A5C">
            <w:pPr>
              <w:tabs>
                <w:tab w:val="left" w:pos="5940"/>
              </w:tabs>
              <w:ind w:left="288" w:hanging="288"/>
              <w:rPr>
                <w:rFonts w:cstheme="minorHAnsi"/>
                <w:i/>
              </w:rPr>
            </w:pPr>
            <w:r w:rsidRPr="00DE7258">
              <w:rPr>
                <w:rFonts w:cstheme="minorHAnsi"/>
                <w:i/>
              </w:rPr>
              <w:t>How many students were contacted?</w:t>
            </w:r>
          </w:p>
          <w:p w:rsidR="00AB760A" w:rsidRPr="00DE7258" w:rsidRDefault="00AB760A" w:rsidP="00AB760A">
            <w:pPr>
              <w:tabs>
                <w:tab w:val="left" w:pos="5940"/>
              </w:tabs>
              <w:ind w:left="288" w:hanging="288"/>
              <w:rPr>
                <w:rFonts w:cstheme="minorHAnsi"/>
                <w:i/>
              </w:rPr>
            </w:pPr>
            <w:r w:rsidRPr="00DE7258">
              <w:rPr>
                <w:rFonts w:cstheme="minorHAnsi"/>
                <w:i/>
              </w:rPr>
              <w:t xml:space="preserve"> </w:t>
            </w:r>
          </w:p>
          <w:p w:rsidR="00AB760A" w:rsidRPr="00DE7258" w:rsidRDefault="00AB760A" w:rsidP="00611A5C">
            <w:pPr>
              <w:tabs>
                <w:tab w:val="left" w:pos="5940"/>
              </w:tabs>
              <w:ind w:left="288" w:hanging="288"/>
              <w:rPr>
                <w:rFonts w:cstheme="minorHAnsi"/>
                <w:i/>
              </w:rPr>
            </w:pPr>
          </w:p>
          <w:p w:rsidR="00312DBD" w:rsidRPr="00DE7258" w:rsidRDefault="00312DBD" w:rsidP="00611A5C">
            <w:pPr>
              <w:tabs>
                <w:tab w:val="left" w:pos="5940"/>
              </w:tabs>
              <w:ind w:left="288" w:hanging="288"/>
              <w:rPr>
                <w:rFonts w:eastAsia="Times New Roman" w:cstheme="minorHAnsi"/>
              </w:rPr>
            </w:pPr>
          </w:p>
        </w:tc>
        <w:tc>
          <w:tcPr>
            <w:tcW w:w="1523" w:type="dxa"/>
            <w:gridSpan w:val="2"/>
          </w:tcPr>
          <w:p w:rsidR="00312DBD" w:rsidRPr="00DE7258" w:rsidRDefault="00312DBD" w:rsidP="00611A5C">
            <w:pPr>
              <w:tabs>
                <w:tab w:val="left" w:pos="5940"/>
              </w:tabs>
              <w:rPr>
                <w:rFonts w:cstheme="minorHAnsi"/>
                <w:i/>
              </w:rPr>
            </w:pPr>
            <w:r w:rsidRPr="00DE7258">
              <w:rPr>
                <w:rFonts w:cstheme="minorHAnsi"/>
                <w:i/>
              </w:rPr>
              <w:t>__In progress,</w:t>
            </w:r>
          </w:p>
          <w:p w:rsidR="00312DBD" w:rsidRPr="00DE7258" w:rsidRDefault="00312DBD" w:rsidP="00611A5C">
            <w:pPr>
              <w:tabs>
                <w:tab w:val="left" w:pos="5940"/>
              </w:tabs>
              <w:rPr>
                <w:rFonts w:cstheme="minorHAnsi"/>
                <w:i/>
              </w:rPr>
            </w:pPr>
            <w:r w:rsidRPr="00DE7258">
              <w:rPr>
                <w:rFonts w:cstheme="minorHAnsi"/>
                <w:i/>
              </w:rPr>
              <w:t>__Completed</w:t>
            </w:r>
          </w:p>
          <w:p w:rsidR="00312DBD" w:rsidRPr="00DE7258" w:rsidRDefault="00312DBD" w:rsidP="00611A5C">
            <w:pPr>
              <w:tabs>
                <w:tab w:val="left" w:pos="5940"/>
              </w:tabs>
              <w:rPr>
                <w:rFonts w:cstheme="minorHAnsi"/>
                <w:i/>
              </w:rPr>
            </w:pPr>
            <w:r w:rsidRPr="00DE7258">
              <w:rPr>
                <w:rFonts w:cstheme="minorHAnsi"/>
                <w:i/>
              </w:rPr>
              <w:t>__Change in direction</w:t>
            </w:r>
          </w:p>
        </w:tc>
      </w:tr>
      <w:tr w:rsidR="001937E6" w:rsidRPr="00DE7258" w:rsidTr="00DE7258">
        <w:tblPrEx>
          <w:tblBorders>
            <w:top w:val="none" w:sz="0" w:space="0" w:color="auto"/>
            <w:left w:val="none" w:sz="0" w:space="0" w:color="auto"/>
            <w:bottom w:val="none" w:sz="0" w:space="0" w:color="auto"/>
            <w:right w:val="none" w:sz="0" w:space="0" w:color="auto"/>
          </w:tblBorders>
        </w:tblPrEx>
        <w:trPr>
          <w:trHeight w:val="341"/>
        </w:trPr>
        <w:tc>
          <w:tcPr>
            <w:tcW w:w="2461" w:type="dxa"/>
            <w:gridSpan w:val="2"/>
            <w:tcBorders>
              <w:top w:val="single" w:sz="4" w:space="0" w:color="auto"/>
              <w:left w:val="single" w:sz="4" w:space="0" w:color="auto"/>
              <w:bottom w:val="single" w:sz="4" w:space="0" w:color="auto"/>
            </w:tcBorders>
            <w:shd w:val="clear" w:color="auto" w:fill="FFFFFF" w:themeFill="background1"/>
          </w:tcPr>
          <w:p w:rsidR="003D0325" w:rsidRPr="00DE7258" w:rsidRDefault="00307CD8" w:rsidP="00312DBD">
            <w:pPr>
              <w:tabs>
                <w:tab w:val="left" w:pos="5940"/>
              </w:tabs>
              <w:rPr>
                <w:rFonts w:cstheme="minorHAnsi"/>
                <w:color w:val="FF0000"/>
              </w:rPr>
            </w:pPr>
            <w:r w:rsidRPr="00DE7258">
              <w:rPr>
                <w:rFonts w:cstheme="minorHAnsi"/>
                <w:color w:val="FF0000"/>
              </w:rPr>
              <w:t>Dean of Student Services</w:t>
            </w:r>
          </w:p>
          <w:p w:rsidR="001937E6" w:rsidRPr="00DE7258" w:rsidRDefault="00307CD8" w:rsidP="003D0325">
            <w:pPr>
              <w:tabs>
                <w:tab w:val="left" w:pos="5940"/>
              </w:tabs>
              <w:ind w:left="288" w:hanging="288"/>
              <w:rPr>
                <w:rFonts w:cstheme="minorHAnsi"/>
              </w:rPr>
            </w:pPr>
            <w:r w:rsidRPr="00DE7258">
              <w:rPr>
                <w:rFonts w:cstheme="minorHAnsi"/>
              </w:rPr>
              <w:t>Implement eForms in Financial Aid and Admissions</w:t>
            </w:r>
          </w:p>
        </w:tc>
        <w:tc>
          <w:tcPr>
            <w:tcW w:w="7111" w:type="dxa"/>
            <w:gridSpan w:val="2"/>
            <w:shd w:val="clear" w:color="auto" w:fill="FFFFFF" w:themeFill="background1"/>
          </w:tcPr>
          <w:p w:rsidR="00307CD8" w:rsidRPr="00DE7258" w:rsidRDefault="007A1892" w:rsidP="00DE7258">
            <w:pPr>
              <w:tabs>
                <w:tab w:val="left" w:pos="5940"/>
              </w:tabs>
              <w:ind w:left="59" w:hanging="18"/>
              <w:rPr>
                <w:rFonts w:eastAsia="Times New Roman" w:cstheme="minorHAnsi"/>
              </w:rPr>
            </w:pPr>
            <w:r w:rsidRPr="00DE7258">
              <w:rPr>
                <w:rFonts w:eastAsia="Times New Roman" w:cstheme="minorHAnsi"/>
              </w:rPr>
              <w:t>Students Services has contracted with Soft</w:t>
            </w:r>
            <w:r w:rsidR="00DE7258" w:rsidRPr="00DE7258">
              <w:rPr>
                <w:rFonts w:eastAsia="Times New Roman" w:cstheme="minorHAnsi"/>
              </w:rPr>
              <w:t xml:space="preserve">Docs to implement forms for the </w:t>
            </w:r>
            <w:r w:rsidRPr="00DE7258">
              <w:rPr>
                <w:rFonts w:eastAsia="Times New Roman" w:cstheme="minorHAnsi"/>
              </w:rPr>
              <w:t>Veterans’ program.</w:t>
            </w:r>
          </w:p>
          <w:p w:rsidR="00AB760A" w:rsidRPr="00DE7258" w:rsidRDefault="00713733" w:rsidP="00312DBD">
            <w:pPr>
              <w:tabs>
                <w:tab w:val="left" w:pos="5940"/>
              </w:tabs>
              <w:ind w:left="288" w:hanging="288"/>
              <w:rPr>
                <w:rFonts w:eastAsia="Times New Roman" w:cstheme="minorHAnsi"/>
              </w:rPr>
            </w:pPr>
            <w:r w:rsidRPr="00DE7258">
              <w:rPr>
                <w:rFonts w:cstheme="minorHAnsi"/>
              </w:rPr>
              <w:t xml:space="preserve">  </w:t>
            </w:r>
          </w:p>
        </w:tc>
        <w:tc>
          <w:tcPr>
            <w:tcW w:w="1516" w:type="dxa"/>
            <w:shd w:val="clear" w:color="auto" w:fill="FFFFFF" w:themeFill="background1"/>
          </w:tcPr>
          <w:p w:rsidR="001937E6" w:rsidRPr="00DE7258" w:rsidRDefault="001937E6" w:rsidP="008E1C47">
            <w:pPr>
              <w:tabs>
                <w:tab w:val="left" w:pos="5940"/>
              </w:tabs>
              <w:rPr>
                <w:rFonts w:cstheme="minorHAnsi"/>
                <w:i/>
              </w:rPr>
            </w:pPr>
            <w:r w:rsidRPr="00DE7258">
              <w:rPr>
                <w:rFonts w:cstheme="minorHAnsi"/>
                <w:i/>
              </w:rPr>
              <w:t>_</w:t>
            </w:r>
            <w:r w:rsidR="007A1892" w:rsidRPr="00DE7258">
              <w:rPr>
                <w:rFonts w:cstheme="minorHAnsi"/>
                <w:i/>
              </w:rPr>
              <w:t>x</w:t>
            </w:r>
            <w:r w:rsidRPr="00DE7258">
              <w:rPr>
                <w:rFonts w:cstheme="minorHAnsi"/>
                <w:i/>
              </w:rPr>
              <w:t>_In progress,</w:t>
            </w:r>
          </w:p>
          <w:p w:rsidR="001937E6" w:rsidRPr="00DE7258" w:rsidRDefault="001937E6" w:rsidP="008E1C47">
            <w:pPr>
              <w:tabs>
                <w:tab w:val="left" w:pos="5940"/>
              </w:tabs>
              <w:rPr>
                <w:rFonts w:cstheme="minorHAnsi"/>
                <w:i/>
              </w:rPr>
            </w:pPr>
            <w:r w:rsidRPr="00DE7258">
              <w:rPr>
                <w:rFonts w:cstheme="minorHAnsi"/>
                <w:i/>
              </w:rPr>
              <w:t>__Completed</w:t>
            </w:r>
          </w:p>
          <w:p w:rsidR="001937E6" w:rsidRPr="00DE7258" w:rsidRDefault="001937E6" w:rsidP="008E1C47">
            <w:pPr>
              <w:tabs>
                <w:tab w:val="left" w:pos="5940"/>
              </w:tabs>
              <w:rPr>
                <w:rFonts w:cstheme="minorHAnsi"/>
                <w:i/>
              </w:rPr>
            </w:pPr>
            <w:r w:rsidRPr="00DE7258">
              <w:rPr>
                <w:rFonts w:cstheme="minorHAnsi"/>
                <w:i/>
              </w:rPr>
              <w:t>__Change in direction</w:t>
            </w:r>
          </w:p>
        </w:tc>
      </w:tr>
      <w:tr w:rsidR="00307CD8" w:rsidRPr="00DE7258" w:rsidTr="00DE7258">
        <w:tblPrEx>
          <w:tblBorders>
            <w:top w:val="none" w:sz="0" w:space="0" w:color="auto"/>
            <w:left w:val="none" w:sz="0" w:space="0" w:color="auto"/>
            <w:bottom w:val="none" w:sz="0" w:space="0" w:color="auto"/>
            <w:right w:val="none" w:sz="0" w:space="0" w:color="auto"/>
          </w:tblBorders>
        </w:tblPrEx>
        <w:trPr>
          <w:trHeight w:val="341"/>
        </w:trPr>
        <w:tc>
          <w:tcPr>
            <w:tcW w:w="2461" w:type="dxa"/>
            <w:gridSpan w:val="2"/>
            <w:tcBorders>
              <w:top w:val="single" w:sz="4" w:space="0" w:color="auto"/>
              <w:left w:val="single" w:sz="4" w:space="0" w:color="auto"/>
              <w:bottom w:val="nil"/>
            </w:tcBorders>
            <w:shd w:val="clear" w:color="auto" w:fill="FFFFFF" w:themeFill="background1"/>
          </w:tcPr>
          <w:p w:rsidR="00307CD8" w:rsidRPr="00DE7258" w:rsidRDefault="00307CD8" w:rsidP="00312DBD">
            <w:pPr>
              <w:tabs>
                <w:tab w:val="left" w:pos="5940"/>
              </w:tabs>
              <w:rPr>
                <w:rFonts w:cstheme="minorHAnsi"/>
                <w:color w:val="FF0000"/>
              </w:rPr>
            </w:pPr>
            <w:r w:rsidRPr="00DE7258">
              <w:rPr>
                <w:rFonts w:cstheme="minorHAnsi"/>
                <w:color w:val="FF0000"/>
              </w:rPr>
              <w:t>VPSS</w:t>
            </w:r>
          </w:p>
          <w:p w:rsidR="00307CD8" w:rsidRPr="00DE7258" w:rsidRDefault="00307CD8" w:rsidP="00312DBD">
            <w:pPr>
              <w:tabs>
                <w:tab w:val="left" w:pos="5940"/>
              </w:tabs>
              <w:rPr>
                <w:rFonts w:cstheme="minorHAnsi"/>
                <w:color w:val="FF0000"/>
              </w:rPr>
            </w:pPr>
            <w:r w:rsidRPr="00DE7258">
              <w:rPr>
                <w:rFonts w:cstheme="minorHAnsi"/>
                <w:color w:val="FF0000"/>
              </w:rPr>
              <w:t>DSPS</w:t>
            </w:r>
          </w:p>
          <w:p w:rsidR="00307CD8" w:rsidRPr="00DE7258" w:rsidRDefault="00307CD8" w:rsidP="00307CD8">
            <w:pPr>
              <w:rPr>
                <w:rFonts w:cstheme="minorHAnsi"/>
                <w:color w:val="000000"/>
              </w:rPr>
            </w:pPr>
            <w:r w:rsidRPr="00DE7258">
              <w:rPr>
                <w:rFonts w:cstheme="minorHAnsi"/>
                <w:color w:val="000000"/>
              </w:rPr>
              <w:t>Create a virtual Light Center that mirrors the physical one, combining the Del Norte and Eureka centers into one, the level of staff to student ratio will increase and the breadth of services provided will be expanded.</w:t>
            </w:r>
          </w:p>
          <w:p w:rsidR="00307CD8" w:rsidRPr="00DE7258" w:rsidRDefault="00307CD8" w:rsidP="00312DBD">
            <w:pPr>
              <w:tabs>
                <w:tab w:val="left" w:pos="5940"/>
              </w:tabs>
              <w:rPr>
                <w:rFonts w:cstheme="minorHAnsi"/>
                <w:color w:val="FF0000"/>
              </w:rPr>
            </w:pPr>
          </w:p>
        </w:tc>
        <w:tc>
          <w:tcPr>
            <w:tcW w:w="7111" w:type="dxa"/>
            <w:gridSpan w:val="2"/>
            <w:shd w:val="clear" w:color="auto" w:fill="FFFFFF" w:themeFill="background1"/>
          </w:tcPr>
          <w:p w:rsidR="00307CD8" w:rsidRPr="00DE7258" w:rsidRDefault="00307CD8" w:rsidP="00307CD8">
            <w:pPr>
              <w:tabs>
                <w:tab w:val="left" w:pos="5940"/>
              </w:tabs>
              <w:ind w:left="288" w:hanging="288"/>
              <w:rPr>
                <w:rFonts w:cstheme="minorHAnsi"/>
              </w:rPr>
            </w:pPr>
            <w:r w:rsidRPr="00DE7258">
              <w:rPr>
                <w:rFonts w:cstheme="minorHAnsi"/>
              </w:rPr>
              <w:t xml:space="preserve">Please provide an update below. Can you discuss results of the evaluation plan, or an altered evaluation plan:  </w:t>
            </w:r>
          </w:p>
          <w:p w:rsidR="00307CD8" w:rsidRPr="00DE7258" w:rsidRDefault="00307CD8" w:rsidP="003D0325">
            <w:pPr>
              <w:tabs>
                <w:tab w:val="left" w:pos="5940"/>
              </w:tabs>
              <w:ind w:left="288" w:hanging="288"/>
              <w:rPr>
                <w:rFonts w:cstheme="minorHAnsi"/>
                <w:i/>
              </w:rPr>
            </w:pPr>
            <w:r w:rsidRPr="00DE7258">
              <w:rPr>
                <w:rFonts w:cstheme="minorHAnsi"/>
                <w:i/>
              </w:rPr>
              <w:t>What was done?  How has this improved effectiveness?</w:t>
            </w:r>
          </w:p>
          <w:p w:rsidR="00307CD8" w:rsidRPr="00DE7258" w:rsidRDefault="00307CD8" w:rsidP="003D0325">
            <w:pPr>
              <w:tabs>
                <w:tab w:val="left" w:pos="5940"/>
              </w:tabs>
              <w:ind w:left="288" w:hanging="288"/>
              <w:rPr>
                <w:rFonts w:cstheme="minorHAnsi"/>
              </w:rPr>
            </w:pPr>
          </w:p>
        </w:tc>
        <w:tc>
          <w:tcPr>
            <w:tcW w:w="1516" w:type="dxa"/>
            <w:shd w:val="clear" w:color="auto" w:fill="FFFFFF" w:themeFill="background1"/>
          </w:tcPr>
          <w:p w:rsidR="00307CD8" w:rsidRPr="00DE7258" w:rsidRDefault="00307CD8" w:rsidP="00307CD8">
            <w:pPr>
              <w:tabs>
                <w:tab w:val="left" w:pos="5940"/>
              </w:tabs>
              <w:rPr>
                <w:rFonts w:cstheme="minorHAnsi"/>
                <w:i/>
              </w:rPr>
            </w:pPr>
            <w:r w:rsidRPr="00DE7258">
              <w:rPr>
                <w:rFonts w:cstheme="minorHAnsi"/>
                <w:i/>
              </w:rPr>
              <w:t>__In progress,</w:t>
            </w:r>
          </w:p>
          <w:p w:rsidR="00307CD8" w:rsidRPr="00DE7258" w:rsidRDefault="00307CD8" w:rsidP="00307CD8">
            <w:pPr>
              <w:tabs>
                <w:tab w:val="left" w:pos="5940"/>
              </w:tabs>
              <w:rPr>
                <w:rFonts w:cstheme="minorHAnsi"/>
                <w:i/>
              </w:rPr>
            </w:pPr>
            <w:r w:rsidRPr="00DE7258">
              <w:rPr>
                <w:rFonts w:cstheme="minorHAnsi"/>
                <w:i/>
              </w:rPr>
              <w:t>__Completed</w:t>
            </w:r>
          </w:p>
          <w:p w:rsidR="00307CD8" w:rsidRPr="00DE7258" w:rsidRDefault="00307CD8" w:rsidP="00307CD8">
            <w:pPr>
              <w:tabs>
                <w:tab w:val="left" w:pos="5940"/>
              </w:tabs>
              <w:rPr>
                <w:rFonts w:cstheme="minorHAnsi"/>
                <w:i/>
              </w:rPr>
            </w:pPr>
            <w:r w:rsidRPr="00DE7258">
              <w:rPr>
                <w:rFonts w:cstheme="minorHAnsi"/>
                <w:i/>
              </w:rPr>
              <w:t>__Change in direction</w:t>
            </w:r>
          </w:p>
        </w:tc>
      </w:tr>
    </w:tbl>
    <w:p w:rsidR="00FD591A" w:rsidRPr="00DE7258" w:rsidRDefault="00FD591A">
      <w:pPr>
        <w:rPr>
          <w:rFonts w:cstheme="minorHAnsi"/>
        </w:rPr>
      </w:pPr>
      <w:r w:rsidRPr="00DE7258">
        <w:rPr>
          <w:rFonts w:cs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6"/>
      </w:tblGrid>
      <w:tr w:rsidR="003D0325" w:rsidRPr="00DE7258" w:rsidTr="0069153A">
        <w:tc>
          <w:tcPr>
            <w:tcW w:w="11016" w:type="dxa"/>
            <w:tcBorders>
              <w:top w:val="nil"/>
              <w:left w:val="nil"/>
              <w:bottom w:val="nil"/>
              <w:right w:val="nil"/>
            </w:tcBorders>
            <w:shd w:val="clear" w:color="auto" w:fill="D9D9D9"/>
          </w:tcPr>
          <w:p w:rsidR="003D0325" w:rsidRPr="00DE7258" w:rsidRDefault="003D0325" w:rsidP="0069153A">
            <w:pPr>
              <w:spacing w:after="0" w:line="240" w:lineRule="auto"/>
              <w:jc w:val="center"/>
              <w:rPr>
                <w:rFonts w:cstheme="minorHAnsi"/>
                <w:b/>
              </w:rPr>
            </w:pPr>
            <w:r w:rsidRPr="00DE7258">
              <w:rPr>
                <w:rFonts w:cstheme="minorHAnsi"/>
                <w:b/>
              </w:rPr>
              <w:lastRenderedPageBreak/>
              <w:t>Goal: Community Partnerships &amp; Workforce Training</w:t>
            </w:r>
          </w:p>
        </w:tc>
      </w:tr>
      <w:tr w:rsidR="003D0325" w:rsidRPr="00DE7258" w:rsidTr="0069153A">
        <w:tc>
          <w:tcPr>
            <w:tcW w:w="11016" w:type="dxa"/>
            <w:tcBorders>
              <w:top w:val="nil"/>
              <w:left w:val="nil"/>
              <w:bottom w:val="nil"/>
              <w:right w:val="nil"/>
            </w:tcBorders>
            <w:shd w:val="clear" w:color="auto" w:fill="D9D9D9"/>
          </w:tcPr>
          <w:p w:rsidR="003D0325" w:rsidRPr="00DE7258" w:rsidRDefault="003D0325" w:rsidP="0069153A">
            <w:pPr>
              <w:tabs>
                <w:tab w:val="left" w:pos="5940"/>
              </w:tabs>
              <w:spacing w:after="0" w:line="240" w:lineRule="auto"/>
              <w:jc w:val="center"/>
              <w:rPr>
                <w:rFonts w:cstheme="minorHAnsi"/>
              </w:rPr>
            </w:pPr>
            <w:r w:rsidRPr="00DE7258">
              <w:rPr>
                <w:rFonts w:cstheme="minorHAnsi"/>
              </w:rPr>
              <w:t>Objectives</w:t>
            </w:r>
          </w:p>
        </w:tc>
      </w:tr>
      <w:tr w:rsidR="003D0325" w:rsidRPr="00DE7258" w:rsidTr="0069153A">
        <w:tc>
          <w:tcPr>
            <w:tcW w:w="11016" w:type="dxa"/>
            <w:tcBorders>
              <w:top w:val="nil"/>
              <w:left w:val="nil"/>
              <w:bottom w:val="nil"/>
            </w:tcBorders>
            <w:vAlign w:val="center"/>
          </w:tcPr>
          <w:p w:rsidR="003D0325" w:rsidRPr="00DE7258" w:rsidRDefault="003D0325" w:rsidP="00CE0182">
            <w:pPr>
              <w:pStyle w:val="ListParagraph"/>
              <w:numPr>
                <w:ilvl w:val="0"/>
                <w:numId w:val="18"/>
              </w:numPr>
              <w:spacing w:after="0" w:line="240" w:lineRule="auto"/>
              <w:rPr>
                <w:rFonts w:cstheme="minorHAnsi"/>
                <w:color w:val="000000"/>
              </w:rPr>
            </w:pPr>
            <w:r w:rsidRPr="00DE7258">
              <w:rPr>
                <w:rFonts w:cstheme="minorHAnsi"/>
                <w:color w:val="000000"/>
              </w:rPr>
              <w:t>Effectively respond to regional workforce needs through workforce training</w:t>
            </w:r>
          </w:p>
        </w:tc>
      </w:tr>
      <w:tr w:rsidR="003D0325" w:rsidRPr="00DE7258" w:rsidTr="0069153A">
        <w:tc>
          <w:tcPr>
            <w:tcW w:w="11016" w:type="dxa"/>
            <w:tcBorders>
              <w:top w:val="nil"/>
              <w:left w:val="nil"/>
              <w:bottom w:val="nil"/>
            </w:tcBorders>
            <w:vAlign w:val="center"/>
          </w:tcPr>
          <w:p w:rsidR="003D0325" w:rsidRPr="00DE7258" w:rsidRDefault="003D0325" w:rsidP="00CE0182">
            <w:pPr>
              <w:pStyle w:val="ListParagraph"/>
              <w:numPr>
                <w:ilvl w:val="0"/>
                <w:numId w:val="18"/>
              </w:numPr>
              <w:spacing w:after="0" w:line="240" w:lineRule="auto"/>
              <w:rPr>
                <w:rFonts w:cstheme="minorHAnsi"/>
                <w:color w:val="000000"/>
              </w:rPr>
            </w:pPr>
            <w:r w:rsidRPr="00DE7258">
              <w:rPr>
                <w:rFonts w:cstheme="minorHAnsi"/>
                <w:color w:val="000000"/>
              </w:rPr>
              <w:t>Effectively partner with community stakeholders to respond to the needs of the community</w:t>
            </w:r>
          </w:p>
        </w:tc>
      </w:tr>
      <w:tr w:rsidR="003D0325" w:rsidRPr="00DE7258" w:rsidTr="0069153A">
        <w:tc>
          <w:tcPr>
            <w:tcW w:w="11016" w:type="dxa"/>
            <w:tcBorders>
              <w:top w:val="nil"/>
              <w:left w:val="nil"/>
              <w:bottom w:val="nil"/>
            </w:tcBorders>
            <w:vAlign w:val="center"/>
          </w:tcPr>
          <w:p w:rsidR="003D0325" w:rsidRPr="00DE7258" w:rsidRDefault="003D0325" w:rsidP="00CE0182">
            <w:pPr>
              <w:pStyle w:val="ListParagraph"/>
              <w:numPr>
                <w:ilvl w:val="0"/>
                <w:numId w:val="18"/>
              </w:numPr>
              <w:spacing w:after="0" w:line="240" w:lineRule="auto"/>
              <w:contextualSpacing w:val="0"/>
              <w:rPr>
                <w:rFonts w:cstheme="minorHAnsi"/>
                <w:color w:val="000000"/>
              </w:rPr>
            </w:pPr>
            <w:r w:rsidRPr="00DE7258">
              <w:rPr>
                <w:rFonts w:cstheme="minorHAnsi"/>
                <w:color w:val="000000"/>
              </w:rPr>
              <w:t>Serve as a hub of cultural, social, and economic activities</w:t>
            </w:r>
          </w:p>
        </w:tc>
      </w:tr>
      <w:tr w:rsidR="003D0325" w:rsidRPr="00DE7258" w:rsidTr="0069153A">
        <w:tc>
          <w:tcPr>
            <w:tcW w:w="11016" w:type="dxa"/>
            <w:tcBorders>
              <w:top w:val="nil"/>
              <w:left w:val="nil"/>
              <w:bottom w:val="nil"/>
            </w:tcBorders>
            <w:vAlign w:val="center"/>
          </w:tcPr>
          <w:p w:rsidR="003D0325" w:rsidRPr="00DE7258" w:rsidRDefault="003D0325" w:rsidP="00CE0182">
            <w:pPr>
              <w:pStyle w:val="ListParagraph"/>
              <w:numPr>
                <w:ilvl w:val="0"/>
                <w:numId w:val="18"/>
              </w:numPr>
              <w:spacing w:after="0" w:line="240" w:lineRule="auto"/>
              <w:contextualSpacing w:val="0"/>
              <w:rPr>
                <w:rFonts w:cstheme="minorHAnsi"/>
                <w:color w:val="000000"/>
              </w:rPr>
            </w:pPr>
            <w:r w:rsidRPr="00DE7258">
              <w:rPr>
                <w:rFonts w:cstheme="minorHAnsi"/>
                <w:color w:val="000000"/>
              </w:rPr>
              <w:t>Establish partnerships that enhance success by supporting the safety, health, and wellness of our students</w:t>
            </w:r>
          </w:p>
        </w:tc>
      </w:tr>
    </w:tbl>
    <w:tbl>
      <w:tblPr>
        <w:tblStyle w:val="TableGrid"/>
        <w:tblW w:w="11088"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2448"/>
        <w:gridCol w:w="7117"/>
        <w:gridCol w:w="1523"/>
      </w:tblGrid>
      <w:tr w:rsidR="0069778D" w:rsidRPr="00DE7258" w:rsidTr="00525D81">
        <w:tc>
          <w:tcPr>
            <w:tcW w:w="11088" w:type="dxa"/>
            <w:gridSpan w:val="3"/>
            <w:shd w:val="clear" w:color="auto" w:fill="D9D9D9" w:themeFill="background1" w:themeFillShade="D9"/>
          </w:tcPr>
          <w:p w:rsidR="0069778D" w:rsidRPr="00DE7258" w:rsidRDefault="0069778D" w:rsidP="00F44DB7">
            <w:pPr>
              <w:tabs>
                <w:tab w:val="left" w:pos="5940"/>
              </w:tabs>
              <w:jc w:val="center"/>
              <w:rPr>
                <w:rFonts w:cstheme="minorHAnsi"/>
                <w:color w:val="000000" w:themeColor="text1"/>
              </w:rPr>
            </w:pPr>
            <w:r w:rsidRPr="00DE7258">
              <w:rPr>
                <w:rFonts w:cstheme="minorHAnsi"/>
                <w:color w:val="000000" w:themeColor="text1"/>
              </w:rPr>
              <w:t>Annual Planning Actions</w:t>
            </w:r>
          </w:p>
        </w:tc>
      </w:tr>
      <w:tr w:rsidR="0069778D" w:rsidRPr="00DE7258" w:rsidTr="001937E6">
        <w:trPr>
          <w:trHeight w:val="341"/>
        </w:trPr>
        <w:tc>
          <w:tcPr>
            <w:tcW w:w="2448" w:type="dxa"/>
            <w:shd w:val="clear" w:color="auto" w:fill="D9D9D9" w:themeFill="background1" w:themeFillShade="D9"/>
          </w:tcPr>
          <w:p w:rsidR="0069778D" w:rsidRPr="00DE7258" w:rsidRDefault="0069778D" w:rsidP="00F44DB7">
            <w:pPr>
              <w:tabs>
                <w:tab w:val="left" w:pos="5940"/>
              </w:tabs>
              <w:rPr>
                <w:rFonts w:cstheme="minorHAnsi"/>
                <w:color w:val="000000" w:themeColor="text1"/>
              </w:rPr>
            </w:pPr>
            <w:r w:rsidRPr="00DE7258">
              <w:rPr>
                <w:rFonts w:cstheme="minorHAnsi"/>
                <w:color w:val="000000" w:themeColor="text1"/>
              </w:rPr>
              <w:t>Annual Action Plan</w:t>
            </w:r>
          </w:p>
        </w:tc>
        <w:tc>
          <w:tcPr>
            <w:tcW w:w="7117" w:type="dxa"/>
            <w:shd w:val="clear" w:color="auto" w:fill="D9D9D9" w:themeFill="background1" w:themeFillShade="D9"/>
          </w:tcPr>
          <w:p w:rsidR="0069778D" w:rsidRPr="00DE7258" w:rsidRDefault="0069778D" w:rsidP="00555E63">
            <w:pPr>
              <w:tabs>
                <w:tab w:val="left" w:pos="5940"/>
              </w:tabs>
              <w:rPr>
                <w:rFonts w:cstheme="minorHAnsi"/>
                <w:color w:val="000000" w:themeColor="text1"/>
              </w:rPr>
            </w:pPr>
            <w:r w:rsidRPr="00DE7258">
              <w:rPr>
                <w:rFonts w:cstheme="minorHAnsi"/>
                <w:color w:val="000000" w:themeColor="text1"/>
              </w:rPr>
              <w:t>Progress Update</w:t>
            </w:r>
          </w:p>
        </w:tc>
        <w:tc>
          <w:tcPr>
            <w:tcW w:w="1523" w:type="dxa"/>
            <w:shd w:val="clear" w:color="auto" w:fill="D9D9D9" w:themeFill="background1" w:themeFillShade="D9"/>
          </w:tcPr>
          <w:p w:rsidR="0069778D" w:rsidRPr="00DE7258" w:rsidRDefault="0069778D" w:rsidP="00F44DB7">
            <w:pPr>
              <w:tabs>
                <w:tab w:val="left" w:pos="5940"/>
              </w:tabs>
              <w:rPr>
                <w:rFonts w:cstheme="minorHAnsi"/>
                <w:color w:val="000000" w:themeColor="text1"/>
              </w:rPr>
            </w:pPr>
            <w:r w:rsidRPr="00DE7258">
              <w:rPr>
                <w:rFonts w:cstheme="minorHAnsi"/>
                <w:color w:val="000000" w:themeColor="text1"/>
              </w:rPr>
              <w:t>Status</w:t>
            </w:r>
          </w:p>
          <w:p w:rsidR="0069778D" w:rsidRPr="00DE7258" w:rsidRDefault="0069778D" w:rsidP="00F44DB7">
            <w:pPr>
              <w:tabs>
                <w:tab w:val="left" w:pos="5940"/>
              </w:tabs>
              <w:rPr>
                <w:rFonts w:cstheme="minorHAnsi"/>
                <w:color w:val="000000" w:themeColor="text1"/>
              </w:rPr>
            </w:pPr>
            <w:r w:rsidRPr="00DE7258">
              <w:rPr>
                <w:rFonts w:cstheme="minorHAnsi"/>
              </w:rPr>
              <w:t>(mark one)</w:t>
            </w:r>
          </w:p>
        </w:tc>
      </w:tr>
      <w:tr w:rsidR="003D0325" w:rsidRPr="00DE7258"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B25B30" w:rsidRPr="00DE7258" w:rsidRDefault="00307CD8" w:rsidP="0069153A">
            <w:pPr>
              <w:tabs>
                <w:tab w:val="left" w:pos="5940"/>
              </w:tabs>
              <w:ind w:left="288" w:hanging="288"/>
              <w:rPr>
                <w:rFonts w:cstheme="minorHAnsi"/>
                <w:color w:val="FF0000"/>
              </w:rPr>
            </w:pPr>
            <w:r w:rsidRPr="00DE7258">
              <w:rPr>
                <w:rFonts w:cstheme="minorHAnsi"/>
                <w:color w:val="FF0000"/>
              </w:rPr>
              <w:t>VPI</w:t>
            </w:r>
          </w:p>
          <w:p w:rsidR="00307CD8" w:rsidRPr="00DE7258" w:rsidRDefault="00307CD8" w:rsidP="00307CD8">
            <w:pPr>
              <w:rPr>
                <w:rFonts w:cstheme="minorHAnsi"/>
                <w:color w:val="000000"/>
              </w:rPr>
            </w:pPr>
            <w:r w:rsidRPr="00DE7258">
              <w:rPr>
                <w:rFonts w:cstheme="minorHAnsi"/>
                <w:color w:val="000000"/>
              </w:rPr>
              <w:t>Increase program relevance by providing students excellent learning opportunities in an industrial setting including upgrading equipment.</w:t>
            </w:r>
          </w:p>
          <w:p w:rsidR="003D0325" w:rsidRPr="00DE7258" w:rsidRDefault="003D0325" w:rsidP="0069153A">
            <w:pPr>
              <w:tabs>
                <w:tab w:val="left" w:pos="5940"/>
              </w:tabs>
              <w:ind w:left="288" w:hanging="288"/>
              <w:rPr>
                <w:rFonts w:cstheme="minorHAnsi"/>
              </w:rPr>
            </w:pPr>
          </w:p>
        </w:tc>
        <w:tc>
          <w:tcPr>
            <w:tcW w:w="7117" w:type="dxa"/>
          </w:tcPr>
          <w:p w:rsidR="00713733" w:rsidRPr="00DE7258" w:rsidRDefault="00DE7258" w:rsidP="00DE7258">
            <w:pPr>
              <w:tabs>
                <w:tab w:val="left" w:pos="5940"/>
              </w:tabs>
              <w:ind w:left="288" w:hanging="288"/>
              <w:rPr>
                <w:rFonts w:cstheme="minorHAnsi"/>
              </w:rPr>
            </w:pPr>
            <w:r w:rsidRPr="00DE7258">
              <w:rPr>
                <w:rFonts w:cstheme="minorHAnsi"/>
              </w:rPr>
              <w:t>The following notable investments have been made to increase program relevance:</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Biology/Anatomy, Physiology, Zoology, and Anthropology</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Anatomage Virtual Dissection Table, Biology and Nursing Pathways</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The Anatomage Table is the only fully segmented real human 3D anatomy system. Users can visualize anatomy exactly as they would on a fresh cadaver. Individual structures are reconstructed in accurate 3D, resulting in an unprecedented level of real accurate anatomy, dissectible in 3D. The table allows for exploration and learning of human anatomy beyond what any cadaver could offer. Anatomy is presented as a fully interactive, life-sized touch screen experience, in operatory bed form. The Anatomage Table is currently in the process of being integrated into one of the lower Science building classrooms. This addition will increase program relevance and pathways to nursing.</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Expanded Inventory of ADInstruments Physio Trackers, Biology, and Nursing Pathways</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We expanded the inventory of recently acquired physiology sensor kits for physiology. The ADI LT Sensor system is a unique tool designed to be small, mobile, virtual, and collaborative. It can also be used both online and face to face.</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Steris</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Upgraded autoclave for Biology program.</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Automotive Technology</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 xml:space="preserve">o   Two HEV Trainers have been sourced and are set to arrive for use in the Fall 2022 semester. The Light Duty Hybrid/Electric Vehicle Specialist Diagnosis trainer and Maintenance of a High Voltage Battery trainer will assist with instruction regarding industry standards relating to </w:t>
            </w:r>
            <w:r w:rsidRPr="00DE7258">
              <w:rPr>
                <w:rFonts w:asciiTheme="minorHAnsi" w:hAnsiTheme="minorHAnsi" w:cstheme="minorHAnsi"/>
                <w:color w:val="000000"/>
              </w:rPr>
              <w:lastRenderedPageBreak/>
              <w:t>Hybrid/Electric vehicles.</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The automotive technology department has also acquired specialized insulated tools needed to work on hybrid/electric vehicles safely.</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Dental</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Upgraded Statim 5000 autoclave for the Dental Laboratory.</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Obtained a Patterson Sinsational Teeth Whitening System to increase student training opportunities to be utilized starting in the Fall.</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Administration of Justice</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Obtained 4 used Police SUVs.</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Obtained 2 new Police Interceptor SUVs fully outfitted used to train students on the same type of vehicles currently used in the law enforcement field.  </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Outfitted additional vehicles with radios to practice multitasking operations that are frequently conducted when in the workforce.</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Obtained a new Skid Car Training System which is a framework that attaches to the suspension of a vehicle and a controller lifts or lowers the front and rear tires of the vehicle independently.</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Welding</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o   The Grinding Station Project in the Welding Technology yard was completed during the Fall 2021 semester. This is a non-permanent structure that protects students and instructional material from the elements. This increases the longevity of the material and over time will decrease the number of time students will need to spend preparing their metal for practical applications. This structure is benefitting all welding classes and increases the grinding area capacity twofold and creates a more comfortable learning environment.  Additionally, a welding technology student also volunteered their time to create a Welding specific mural for the structure.</w:t>
            </w:r>
          </w:p>
          <w:p w:rsidR="00DE7258" w:rsidRPr="00DE7258" w:rsidRDefault="00DE7258" w:rsidP="00DE7258">
            <w:pPr>
              <w:pStyle w:val="xmsonormal"/>
              <w:spacing w:after="240"/>
              <w:ind w:left="1440"/>
              <w:rPr>
                <w:rFonts w:asciiTheme="minorHAnsi" w:hAnsiTheme="minorHAnsi" w:cstheme="minorHAnsi"/>
              </w:rPr>
            </w:pPr>
            <w:r w:rsidRPr="00DE7258">
              <w:rPr>
                <w:rFonts w:asciiTheme="minorHAnsi" w:hAnsiTheme="minorHAnsi" w:cstheme="minorHAnsi"/>
                <w:color w:val="000000"/>
              </w:rPr>
              <w:t xml:space="preserve">o   The Welding Technology program has acquired a MILLER Augmented Reality Welding System for outreach and in-class training. Once our new WT faculty starts in Fall 2022, </w:t>
            </w:r>
            <w:r w:rsidRPr="00DE7258">
              <w:rPr>
                <w:rFonts w:asciiTheme="minorHAnsi" w:hAnsiTheme="minorHAnsi" w:cstheme="minorHAnsi"/>
                <w:color w:val="000000"/>
              </w:rPr>
              <w:lastRenderedPageBreak/>
              <w:t>individuals will be coming to train CR faculty on optimizing the use of the Virtual Reality Welding System.</w:t>
            </w:r>
          </w:p>
          <w:p w:rsidR="00DE7258" w:rsidRPr="00DE7258" w:rsidRDefault="00DE7258" w:rsidP="00DE7258">
            <w:pPr>
              <w:pStyle w:val="xmsonormal"/>
              <w:spacing w:after="240"/>
              <w:rPr>
                <w:rFonts w:asciiTheme="minorHAnsi" w:hAnsiTheme="minorHAnsi" w:cstheme="minorHAnsi"/>
              </w:rPr>
            </w:pPr>
            <w:r w:rsidRPr="00DE7258">
              <w:rPr>
                <w:rFonts w:asciiTheme="minorHAnsi" w:hAnsiTheme="minorHAnsi" w:cstheme="minorHAnsi"/>
                <w:color w:val="000000"/>
              </w:rPr>
              <w:t>-          Career Center</w:t>
            </w:r>
          </w:p>
          <w:p w:rsidR="00DE7258" w:rsidRPr="00DE7258" w:rsidRDefault="00DE7258" w:rsidP="00DE7258">
            <w:pPr>
              <w:pStyle w:val="xmsonormal"/>
              <w:rPr>
                <w:rFonts w:asciiTheme="minorHAnsi" w:hAnsiTheme="minorHAnsi" w:cstheme="minorHAnsi"/>
              </w:rPr>
            </w:pPr>
            <w:r w:rsidRPr="00DE7258">
              <w:rPr>
                <w:rFonts w:asciiTheme="minorHAnsi" w:hAnsiTheme="minorHAnsi" w:cstheme="minorHAnsi"/>
                <w:color w:val="000000"/>
              </w:rPr>
              <w:t>o   A 3-year subscription to the job search platform Handshake was acquired. Our 4-year counterparts at Cal Poly Humboldt also use Handshake, which even further aids with increased partnership across institutions.</w:t>
            </w:r>
          </w:p>
          <w:p w:rsidR="00DE7258" w:rsidRPr="00DE7258" w:rsidRDefault="00DE7258" w:rsidP="00DE7258">
            <w:pPr>
              <w:tabs>
                <w:tab w:val="left" w:pos="5940"/>
              </w:tabs>
              <w:ind w:left="288" w:hanging="288"/>
              <w:rPr>
                <w:rFonts w:eastAsia="Times New Roman" w:cstheme="minorHAnsi"/>
                <w:i/>
              </w:rPr>
            </w:pPr>
          </w:p>
        </w:tc>
        <w:tc>
          <w:tcPr>
            <w:tcW w:w="1523" w:type="dxa"/>
          </w:tcPr>
          <w:p w:rsidR="003D0325" w:rsidRPr="00DE7258" w:rsidRDefault="003D0325" w:rsidP="0069153A">
            <w:pPr>
              <w:tabs>
                <w:tab w:val="left" w:pos="5940"/>
              </w:tabs>
              <w:rPr>
                <w:rFonts w:cstheme="minorHAnsi"/>
                <w:i/>
              </w:rPr>
            </w:pPr>
            <w:r w:rsidRPr="00DE7258">
              <w:rPr>
                <w:rFonts w:cstheme="minorHAnsi"/>
                <w:i/>
              </w:rPr>
              <w:lastRenderedPageBreak/>
              <w:t>__In progress,</w:t>
            </w:r>
          </w:p>
          <w:p w:rsidR="003D0325" w:rsidRPr="00DE7258" w:rsidRDefault="003D0325" w:rsidP="0069153A">
            <w:pPr>
              <w:tabs>
                <w:tab w:val="left" w:pos="5940"/>
              </w:tabs>
              <w:rPr>
                <w:rFonts w:cstheme="minorHAnsi"/>
                <w:i/>
              </w:rPr>
            </w:pPr>
            <w:r w:rsidRPr="00DE7258">
              <w:rPr>
                <w:rFonts w:cstheme="minorHAnsi"/>
                <w:i/>
              </w:rPr>
              <w:t>__Completed</w:t>
            </w:r>
          </w:p>
          <w:p w:rsidR="003D0325" w:rsidRPr="00DE7258" w:rsidRDefault="003D0325" w:rsidP="0069153A">
            <w:pPr>
              <w:tabs>
                <w:tab w:val="left" w:pos="5940"/>
              </w:tabs>
              <w:rPr>
                <w:rFonts w:cstheme="minorHAnsi"/>
                <w:i/>
              </w:rPr>
            </w:pPr>
            <w:r w:rsidRPr="00DE7258">
              <w:rPr>
                <w:rFonts w:cstheme="minorHAnsi"/>
                <w:i/>
              </w:rPr>
              <w:t>__Change in direction</w:t>
            </w:r>
          </w:p>
        </w:tc>
      </w:tr>
      <w:tr w:rsidR="00307CD8" w:rsidRPr="00DE7258" w:rsidTr="003D0325">
        <w:tblPrEx>
          <w:tblBorders>
            <w:top w:val="single" w:sz="4" w:space="0" w:color="auto"/>
            <w:left w:val="single" w:sz="4" w:space="0" w:color="auto"/>
            <w:bottom w:val="single" w:sz="4" w:space="0" w:color="auto"/>
            <w:right w:val="single" w:sz="4" w:space="0" w:color="auto"/>
          </w:tblBorders>
        </w:tblPrEx>
        <w:trPr>
          <w:trHeight w:val="341"/>
        </w:trPr>
        <w:tc>
          <w:tcPr>
            <w:tcW w:w="2448" w:type="dxa"/>
          </w:tcPr>
          <w:p w:rsidR="00307CD8" w:rsidRPr="00DE7258" w:rsidRDefault="00307CD8" w:rsidP="0069153A">
            <w:pPr>
              <w:tabs>
                <w:tab w:val="left" w:pos="5940"/>
              </w:tabs>
              <w:ind w:left="288" w:hanging="288"/>
              <w:rPr>
                <w:rFonts w:cstheme="minorHAnsi"/>
                <w:color w:val="FF0000"/>
              </w:rPr>
            </w:pPr>
            <w:r w:rsidRPr="00DE7258">
              <w:rPr>
                <w:rFonts w:cstheme="minorHAnsi"/>
                <w:color w:val="FF0000"/>
              </w:rPr>
              <w:lastRenderedPageBreak/>
              <w:t>President</w:t>
            </w:r>
          </w:p>
          <w:p w:rsidR="00307CD8" w:rsidRPr="00DE7258" w:rsidRDefault="00307CD8" w:rsidP="0069153A">
            <w:pPr>
              <w:tabs>
                <w:tab w:val="left" w:pos="5940"/>
              </w:tabs>
              <w:ind w:left="288" w:hanging="288"/>
              <w:rPr>
                <w:rFonts w:cstheme="minorHAnsi"/>
                <w:color w:val="FF0000"/>
              </w:rPr>
            </w:pPr>
            <w:r w:rsidRPr="00DE7258">
              <w:rPr>
                <w:rFonts w:cstheme="minorHAnsi"/>
                <w:color w:val="000000"/>
              </w:rPr>
              <w:t>Deepen CR’s collaboration with Humboldt State University</w:t>
            </w:r>
          </w:p>
        </w:tc>
        <w:tc>
          <w:tcPr>
            <w:tcW w:w="7117" w:type="dxa"/>
          </w:tcPr>
          <w:p w:rsidR="00C2774B" w:rsidRPr="00DE7258" w:rsidRDefault="00752C36" w:rsidP="00DE7258">
            <w:pPr>
              <w:tabs>
                <w:tab w:val="left" w:pos="5940"/>
              </w:tabs>
              <w:ind w:hanging="15"/>
              <w:rPr>
                <w:rFonts w:cstheme="minorHAnsi"/>
              </w:rPr>
            </w:pPr>
            <w:r w:rsidRPr="00DE7258">
              <w:rPr>
                <w:rFonts w:cstheme="minorHAnsi"/>
              </w:rPr>
              <w:t>College of the Redwoods and Cal Poly Humboldt formed working groups in the areas of academics, facilities and resources, student services, and community partnerships &amp; athletics. The groups came together in multi</w:t>
            </w:r>
            <w:r w:rsidR="00C2774B" w:rsidRPr="00DE7258">
              <w:rPr>
                <w:rFonts w:cstheme="minorHAnsi"/>
              </w:rPr>
              <w:t>ple joint summits in 2021-22</w:t>
            </w:r>
            <w:r w:rsidRPr="00DE7258">
              <w:rPr>
                <w:rFonts w:cstheme="minorHAnsi"/>
              </w:rPr>
              <w:t xml:space="preserve">. The working groups surfaced several </w:t>
            </w:r>
            <w:r w:rsidR="00C2774B" w:rsidRPr="00DE7258">
              <w:rPr>
                <w:rFonts w:cstheme="minorHAnsi"/>
              </w:rPr>
              <w:t>areas of focus including partnerships to provide internships and educational programming in renewable and wind energy, co-locating nursing education programs, and co-branding strategic marketing materials.</w:t>
            </w:r>
          </w:p>
          <w:p w:rsidR="00C2774B" w:rsidRPr="00DE7258" w:rsidRDefault="00C2774B" w:rsidP="00752C36">
            <w:pPr>
              <w:tabs>
                <w:tab w:val="left" w:pos="5940"/>
              </w:tabs>
              <w:ind w:left="288" w:hanging="288"/>
              <w:rPr>
                <w:rFonts w:cstheme="minorHAnsi"/>
              </w:rPr>
            </w:pPr>
          </w:p>
          <w:p w:rsidR="00752C36" w:rsidRPr="00DE7258" w:rsidRDefault="00C2774B" w:rsidP="00DE7258">
            <w:pPr>
              <w:tabs>
                <w:tab w:val="left" w:pos="5940"/>
              </w:tabs>
              <w:ind w:hanging="105"/>
              <w:rPr>
                <w:rFonts w:cstheme="minorHAnsi"/>
              </w:rPr>
            </w:pPr>
            <w:r w:rsidRPr="00DE7258">
              <w:rPr>
                <w:rFonts w:cstheme="minorHAnsi"/>
              </w:rPr>
              <w:t xml:space="preserve"> The initial MOU signed in 2019 that formalized the collaboration between the institutions was amended this year with new agreements for guaranteed transfer for College of the Redwoods students into select STEM majors at Cal Poly, and with an agreement to streamline reverse transfer for Cal Poly students to earn an associate’s degree from College of the Redwoods. </w:t>
            </w:r>
          </w:p>
          <w:p w:rsidR="00092B64" w:rsidRPr="00DE7258" w:rsidRDefault="00092B64" w:rsidP="00C2774B">
            <w:pPr>
              <w:tabs>
                <w:tab w:val="left" w:pos="5940"/>
              </w:tabs>
              <w:ind w:left="288" w:hanging="288"/>
              <w:rPr>
                <w:rFonts w:cstheme="minorHAnsi"/>
              </w:rPr>
            </w:pPr>
          </w:p>
          <w:p w:rsidR="00092B64" w:rsidRPr="00DE7258" w:rsidRDefault="00092B64" w:rsidP="00DE7258">
            <w:pPr>
              <w:tabs>
                <w:tab w:val="left" w:pos="5940"/>
              </w:tabs>
              <w:rPr>
                <w:rFonts w:cstheme="minorHAnsi"/>
              </w:rPr>
            </w:pPr>
            <w:r w:rsidRPr="00DE7258">
              <w:rPr>
                <w:rFonts w:cstheme="minorHAnsi"/>
              </w:rPr>
              <w:t xml:space="preserve">The number of students transferring from CR to Cal Poly Humboldt reached a 10-year low in 2018-19, but has increased </w:t>
            </w:r>
            <w:r w:rsidR="00E977B6" w:rsidRPr="00DE7258">
              <w:rPr>
                <w:rFonts w:cstheme="minorHAnsi"/>
              </w:rPr>
              <w:t xml:space="preserve">since then, despite fewer students attending CR because of the pandemic. </w:t>
            </w:r>
            <w:r w:rsidRPr="00DE7258">
              <w:rPr>
                <w:rFonts w:cstheme="minorHAnsi"/>
              </w:rPr>
              <w:t xml:space="preserve"> </w:t>
            </w:r>
          </w:p>
        </w:tc>
        <w:tc>
          <w:tcPr>
            <w:tcW w:w="1523" w:type="dxa"/>
          </w:tcPr>
          <w:p w:rsidR="00307CD8" w:rsidRPr="00DE7258" w:rsidRDefault="00307CD8" w:rsidP="00307CD8">
            <w:pPr>
              <w:tabs>
                <w:tab w:val="left" w:pos="5940"/>
              </w:tabs>
              <w:rPr>
                <w:rFonts w:cstheme="minorHAnsi"/>
                <w:i/>
              </w:rPr>
            </w:pPr>
            <w:r w:rsidRPr="00DE7258">
              <w:rPr>
                <w:rFonts w:cstheme="minorHAnsi"/>
                <w:i/>
              </w:rPr>
              <w:t>_</w:t>
            </w:r>
            <w:r w:rsidR="00C2774B" w:rsidRPr="00DE7258">
              <w:rPr>
                <w:rFonts w:cstheme="minorHAnsi"/>
                <w:i/>
              </w:rPr>
              <w:t>x</w:t>
            </w:r>
            <w:r w:rsidRPr="00DE7258">
              <w:rPr>
                <w:rFonts w:cstheme="minorHAnsi"/>
                <w:i/>
              </w:rPr>
              <w:t>_In progress,</w:t>
            </w:r>
          </w:p>
          <w:p w:rsidR="00307CD8" w:rsidRPr="00DE7258" w:rsidRDefault="00307CD8" w:rsidP="00307CD8">
            <w:pPr>
              <w:tabs>
                <w:tab w:val="left" w:pos="5940"/>
              </w:tabs>
              <w:rPr>
                <w:rFonts w:cstheme="minorHAnsi"/>
                <w:i/>
              </w:rPr>
            </w:pPr>
            <w:r w:rsidRPr="00DE7258">
              <w:rPr>
                <w:rFonts w:cstheme="minorHAnsi"/>
                <w:i/>
              </w:rPr>
              <w:t>__Completed</w:t>
            </w:r>
          </w:p>
          <w:p w:rsidR="00307CD8" w:rsidRPr="00DE7258" w:rsidRDefault="00307CD8" w:rsidP="00307CD8">
            <w:pPr>
              <w:tabs>
                <w:tab w:val="left" w:pos="5940"/>
              </w:tabs>
              <w:rPr>
                <w:rFonts w:cstheme="minorHAnsi"/>
                <w:i/>
              </w:rPr>
            </w:pPr>
            <w:r w:rsidRPr="00DE7258">
              <w:rPr>
                <w:rFonts w:cstheme="minorHAnsi"/>
                <w:i/>
              </w:rPr>
              <w:t>__Change in direction</w:t>
            </w:r>
          </w:p>
        </w:tc>
      </w:tr>
    </w:tbl>
    <w:p w:rsidR="00C94C8B" w:rsidRPr="00DE7258" w:rsidRDefault="00C94C8B">
      <w:pPr>
        <w:rPr>
          <w:rFonts w:cstheme="minorHAnsi"/>
        </w:rPr>
      </w:pPr>
    </w:p>
    <w:p w:rsidR="00C94C8B" w:rsidRPr="00DE7258" w:rsidRDefault="00C94C8B">
      <w:pPr>
        <w:rPr>
          <w:rFonts w:cstheme="minorHAnsi"/>
        </w:rPr>
      </w:pPr>
      <w:r w:rsidRPr="00DE7258">
        <w:rPr>
          <w:rFonts w:cstheme="minorHAnsi"/>
        </w:rPr>
        <w:br w:type="page"/>
      </w:r>
    </w:p>
    <w:tbl>
      <w:tblPr>
        <w:tblStyle w:val="TableGrid"/>
        <w:tblW w:w="11088" w:type="dxa"/>
        <w:tblLayout w:type="fixed"/>
        <w:tblLook w:val="04A0" w:firstRow="1" w:lastRow="0" w:firstColumn="1" w:lastColumn="0" w:noHBand="0" w:noVBand="1"/>
      </w:tblPr>
      <w:tblGrid>
        <w:gridCol w:w="2448"/>
        <w:gridCol w:w="7117"/>
        <w:gridCol w:w="1523"/>
      </w:tblGrid>
      <w:tr w:rsidR="00A117FD" w:rsidRPr="00DE7258" w:rsidTr="00A117FD">
        <w:tc>
          <w:tcPr>
            <w:tcW w:w="11088" w:type="dxa"/>
            <w:gridSpan w:val="3"/>
          </w:tcPr>
          <w:p w:rsidR="00A117FD" w:rsidRPr="00DE7258" w:rsidRDefault="001937E6" w:rsidP="0069153A">
            <w:pPr>
              <w:jc w:val="center"/>
              <w:rPr>
                <w:rFonts w:cstheme="minorHAnsi"/>
                <w:b/>
              </w:rPr>
            </w:pPr>
            <w:r w:rsidRPr="00DE7258">
              <w:rPr>
                <w:rFonts w:cstheme="minorHAnsi"/>
              </w:rPr>
              <w:lastRenderedPageBreak/>
              <w:br w:type="page"/>
            </w:r>
            <w:r w:rsidR="00A117FD" w:rsidRPr="00DE7258">
              <w:rPr>
                <w:rFonts w:cstheme="minorHAnsi"/>
              </w:rPr>
              <w:br w:type="page"/>
            </w:r>
            <w:r w:rsidR="00A117FD" w:rsidRPr="00DE7258">
              <w:rPr>
                <w:rFonts w:cstheme="minorHAnsi"/>
                <w:b/>
              </w:rPr>
              <w:t>Goal: Institutional Effectiveness &amp; Planning</w:t>
            </w:r>
          </w:p>
        </w:tc>
      </w:tr>
      <w:tr w:rsidR="00A117FD" w:rsidRPr="00DE7258" w:rsidTr="00A117FD">
        <w:tc>
          <w:tcPr>
            <w:tcW w:w="11088" w:type="dxa"/>
            <w:gridSpan w:val="3"/>
          </w:tcPr>
          <w:p w:rsidR="00A117FD" w:rsidRPr="00DE7258" w:rsidRDefault="00A117FD" w:rsidP="0069153A">
            <w:pPr>
              <w:tabs>
                <w:tab w:val="left" w:pos="5940"/>
              </w:tabs>
              <w:jc w:val="center"/>
              <w:rPr>
                <w:rFonts w:cstheme="minorHAnsi"/>
              </w:rPr>
            </w:pPr>
            <w:r w:rsidRPr="00DE7258">
              <w:rPr>
                <w:rFonts w:cstheme="minorHAnsi"/>
              </w:rPr>
              <w:t>Objectives</w:t>
            </w:r>
          </w:p>
        </w:tc>
      </w:tr>
      <w:tr w:rsidR="00A117FD" w:rsidRPr="00DE7258" w:rsidTr="00A117FD">
        <w:tc>
          <w:tcPr>
            <w:tcW w:w="11088" w:type="dxa"/>
            <w:gridSpan w:val="3"/>
          </w:tcPr>
          <w:p w:rsidR="00A117FD" w:rsidRPr="00DE7258" w:rsidRDefault="00A117FD" w:rsidP="00CE0182">
            <w:pPr>
              <w:pStyle w:val="ListParagraph"/>
              <w:numPr>
                <w:ilvl w:val="0"/>
                <w:numId w:val="18"/>
              </w:numPr>
              <w:rPr>
                <w:rFonts w:cstheme="minorHAnsi"/>
                <w:color w:val="000000"/>
              </w:rPr>
            </w:pPr>
            <w:r w:rsidRPr="00DE7258">
              <w:rPr>
                <w:rFonts w:cstheme="minorHAnsi"/>
                <w:color w:val="000000"/>
              </w:rPr>
              <w:t>Employ state-of-the-art technology, equipment, and facilities throughout the district to support learning and institutional performance</w:t>
            </w:r>
          </w:p>
        </w:tc>
      </w:tr>
      <w:tr w:rsidR="00A117FD" w:rsidRPr="00DE7258" w:rsidTr="00A117FD">
        <w:tc>
          <w:tcPr>
            <w:tcW w:w="11088" w:type="dxa"/>
            <w:gridSpan w:val="3"/>
          </w:tcPr>
          <w:p w:rsidR="00A117FD" w:rsidRPr="00DE7258" w:rsidRDefault="00A117FD" w:rsidP="00CE0182">
            <w:pPr>
              <w:pStyle w:val="ListParagraph"/>
              <w:numPr>
                <w:ilvl w:val="0"/>
                <w:numId w:val="18"/>
              </w:numPr>
              <w:contextualSpacing w:val="0"/>
              <w:rPr>
                <w:rFonts w:cstheme="minorHAnsi"/>
                <w:color w:val="000000"/>
              </w:rPr>
            </w:pPr>
            <w:r w:rsidRPr="00DE7258">
              <w:rPr>
                <w:rFonts w:cstheme="minorHAnsi"/>
                <w:color w:val="000000"/>
              </w:rPr>
              <w:t>Employ clear and transparent processes for core operations and decision making</w:t>
            </w:r>
          </w:p>
        </w:tc>
      </w:tr>
      <w:tr w:rsidR="0069778D" w:rsidRPr="00DE7258" w:rsidTr="00A117FD">
        <w:tblPrEx>
          <w:tblBorders>
            <w:top w:val="none" w:sz="0" w:space="0" w:color="auto"/>
            <w:left w:val="none" w:sz="0" w:space="0" w:color="auto"/>
            <w:bottom w:val="none" w:sz="0" w:space="0" w:color="auto"/>
            <w:right w:val="none" w:sz="0" w:space="0" w:color="auto"/>
          </w:tblBorders>
        </w:tblPrEx>
        <w:tc>
          <w:tcPr>
            <w:tcW w:w="11088" w:type="dxa"/>
            <w:gridSpan w:val="3"/>
            <w:shd w:val="clear" w:color="auto" w:fill="D9D9D9" w:themeFill="background1" w:themeFillShade="D9"/>
          </w:tcPr>
          <w:p w:rsidR="0069778D" w:rsidRPr="00DE7258" w:rsidRDefault="0069778D" w:rsidP="00F44DB7">
            <w:pPr>
              <w:tabs>
                <w:tab w:val="left" w:pos="5940"/>
              </w:tabs>
              <w:jc w:val="center"/>
              <w:rPr>
                <w:rFonts w:cstheme="minorHAnsi"/>
                <w:color w:val="000000" w:themeColor="text1"/>
              </w:rPr>
            </w:pPr>
            <w:r w:rsidRPr="00DE7258">
              <w:rPr>
                <w:rFonts w:cstheme="minorHAnsi"/>
                <w:color w:val="000000" w:themeColor="text1"/>
              </w:rPr>
              <w:t>Annual Planning Actions</w:t>
            </w:r>
          </w:p>
        </w:tc>
      </w:tr>
      <w:tr w:rsidR="0069778D" w:rsidRPr="00DE7258" w:rsidTr="00A117FD">
        <w:tblPrEx>
          <w:tblBorders>
            <w:top w:val="none" w:sz="0" w:space="0" w:color="auto"/>
            <w:left w:val="none" w:sz="0" w:space="0" w:color="auto"/>
            <w:bottom w:val="none" w:sz="0" w:space="0" w:color="auto"/>
            <w:right w:val="none" w:sz="0" w:space="0" w:color="auto"/>
          </w:tblBorders>
        </w:tblPrEx>
        <w:trPr>
          <w:trHeight w:val="341"/>
        </w:trPr>
        <w:tc>
          <w:tcPr>
            <w:tcW w:w="2448" w:type="dxa"/>
            <w:shd w:val="clear" w:color="auto" w:fill="D9D9D9" w:themeFill="background1" w:themeFillShade="D9"/>
          </w:tcPr>
          <w:p w:rsidR="0069778D" w:rsidRPr="00DE7258" w:rsidRDefault="0069778D" w:rsidP="00F44DB7">
            <w:pPr>
              <w:tabs>
                <w:tab w:val="left" w:pos="5940"/>
              </w:tabs>
              <w:rPr>
                <w:rFonts w:cstheme="minorHAnsi"/>
                <w:color w:val="000000" w:themeColor="text1"/>
              </w:rPr>
            </w:pPr>
            <w:r w:rsidRPr="00DE7258">
              <w:rPr>
                <w:rFonts w:cstheme="minorHAnsi"/>
                <w:color w:val="000000" w:themeColor="text1"/>
              </w:rPr>
              <w:t>Annual Action Plan</w:t>
            </w:r>
          </w:p>
        </w:tc>
        <w:tc>
          <w:tcPr>
            <w:tcW w:w="7117" w:type="dxa"/>
            <w:shd w:val="clear" w:color="auto" w:fill="D9D9D9" w:themeFill="background1" w:themeFillShade="D9"/>
          </w:tcPr>
          <w:p w:rsidR="0069778D" w:rsidRPr="00DE7258" w:rsidRDefault="0069778D" w:rsidP="00555E63">
            <w:pPr>
              <w:tabs>
                <w:tab w:val="left" w:pos="5940"/>
              </w:tabs>
              <w:rPr>
                <w:rFonts w:cstheme="minorHAnsi"/>
                <w:color w:val="000000" w:themeColor="text1"/>
              </w:rPr>
            </w:pPr>
            <w:r w:rsidRPr="00DE7258">
              <w:rPr>
                <w:rFonts w:cstheme="minorHAnsi"/>
                <w:color w:val="000000" w:themeColor="text1"/>
              </w:rPr>
              <w:t>Progress Update</w:t>
            </w:r>
          </w:p>
        </w:tc>
        <w:tc>
          <w:tcPr>
            <w:tcW w:w="1523" w:type="dxa"/>
            <w:shd w:val="clear" w:color="auto" w:fill="D9D9D9" w:themeFill="background1" w:themeFillShade="D9"/>
          </w:tcPr>
          <w:p w:rsidR="0069778D" w:rsidRPr="00DE7258" w:rsidRDefault="0069778D" w:rsidP="00F44DB7">
            <w:pPr>
              <w:tabs>
                <w:tab w:val="left" w:pos="5940"/>
              </w:tabs>
              <w:rPr>
                <w:rFonts w:cstheme="minorHAnsi"/>
                <w:color w:val="000000" w:themeColor="text1"/>
              </w:rPr>
            </w:pPr>
            <w:r w:rsidRPr="00DE7258">
              <w:rPr>
                <w:rFonts w:cstheme="minorHAnsi"/>
                <w:color w:val="000000" w:themeColor="text1"/>
              </w:rPr>
              <w:t>Status</w:t>
            </w:r>
          </w:p>
          <w:p w:rsidR="0069778D" w:rsidRPr="00DE7258" w:rsidRDefault="0069778D" w:rsidP="00F44DB7">
            <w:pPr>
              <w:tabs>
                <w:tab w:val="left" w:pos="5940"/>
              </w:tabs>
              <w:rPr>
                <w:rFonts w:cstheme="minorHAnsi"/>
                <w:color w:val="000000" w:themeColor="text1"/>
              </w:rPr>
            </w:pPr>
            <w:r w:rsidRPr="00DE7258">
              <w:rPr>
                <w:rFonts w:cstheme="minorHAnsi"/>
              </w:rPr>
              <w:t>(mark one)</w:t>
            </w:r>
          </w:p>
        </w:tc>
      </w:tr>
      <w:tr w:rsidR="00A117FD" w:rsidRPr="00DE7258" w:rsidTr="00A117FD">
        <w:trPr>
          <w:trHeight w:val="341"/>
        </w:trPr>
        <w:tc>
          <w:tcPr>
            <w:tcW w:w="2448" w:type="dxa"/>
          </w:tcPr>
          <w:p w:rsidR="00A117FD" w:rsidRPr="00DE7258" w:rsidRDefault="00307CD8" w:rsidP="00CE0182">
            <w:pPr>
              <w:tabs>
                <w:tab w:val="left" w:pos="5940"/>
              </w:tabs>
              <w:rPr>
                <w:rFonts w:cstheme="minorHAnsi"/>
                <w:color w:val="FF0000"/>
              </w:rPr>
            </w:pPr>
            <w:r w:rsidRPr="00DE7258">
              <w:rPr>
                <w:rFonts w:cstheme="minorHAnsi"/>
                <w:color w:val="FF0000"/>
              </w:rPr>
              <w:t>VPA</w:t>
            </w:r>
          </w:p>
          <w:p w:rsidR="00A117FD" w:rsidRPr="00DE7258" w:rsidRDefault="00A117FD" w:rsidP="00CE0182">
            <w:pPr>
              <w:tabs>
                <w:tab w:val="left" w:pos="5940"/>
              </w:tabs>
              <w:ind w:left="288" w:hanging="288"/>
              <w:rPr>
                <w:rFonts w:cstheme="minorHAnsi"/>
              </w:rPr>
            </w:pPr>
            <w:r w:rsidRPr="00DE7258">
              <w:rPr>
                <w:rFonts w:cstheme="minorHAnsi"/>
              </w:rPr>
              <w:t xml:space="preserve">Identify </w:t>
            </w:r>
            <w:r w:rsidR="00CE0182" w:rsidRPr="00DE7258">
              <w:rPr>
                <w:rFonts w:cstheme="minorHAnsi"/>
              </w:rPr>
              <w:t>strategies</w:t>
            </w:r>
            <w:r w:rsidRPr="00DE7258">
              <w:rPr>
                <w:rFonts w:cstheme="minorHAnsi"/>
              </w:rPr>
              <w:t xml:space="preserve"> to fund the budget for capital repairs and maintenance.</w:t>
            </w:r>
          </w:p>
        </w:tc>
        <w:tc>
          <w:tcPr>
            <w:tcW w:w="7117" w:type="dxa"/>
          </w:tcPr>
          <w:p w:rsidR="00EF71E8" w:rsidRPr="00DE7258" w:rsidRDefault="00EF71E8" w:rsidP="00EF71E8">
            <w:pPr>
              <w:rPr>
                <w:rFonts w:cstheme="minorHAnsi"/>
              </w:rPr>
            </w:pPr>
            <w:r w:rsidRPr="00DE7258">
              <w:rPr>
                <w:rFonts w:cstheme="minorHAnsi"/>
              </w:rPr>
              <w:t xml:space="preserve">The 2021-22 State budget included $511 million for the Physical Plant and Instructional Support program.  The District’s allocation of those dollars is $1,371,164, of which approximately 50% has been obligated for Physical Plant, and 50% for Instructional Support.  The physical plant dollars will be used for several scheduled/deferred maintenance projects that have been identified in the 5-Year Scheduled Maintenance Plan.  Since these are one time funds and not a long-term strategy to fund the budget for capital repairs and maintenance, this will continue to be a Budget Advisory Committee recommended budget priority.  As per the most recent Maintenance Program Review, approximately $1.2 million would be needed annually to adequately fund capital repairs and routine maintenance for the District.      </w:t>
            </w:r>
          </w:p>
          <w:p w:rsidR="00645B79" w:rsidRPr="00DE7258" w:rsidRDefault="00645B79" w:rsidP="0069153A">
            <w:pPr>
              <w:tabs>
                <w:tab w:val="left" w:pos="5940"/>
              </w:tabs>
              <w:ind w:left="288" w:hanging="288"/>
              <w:rPr>
                <w:rFonts w:eastAsia="Times New Roman" w:cstheme="minorHAnsi"/>
              </w:rPr>
            </w:pPr>
          </w:p>
        </w:tc>
        <w:tc>
          <w:tcPr>
            <w:tcW w:w="1523" w:type="dxa"/>
          </w:tcPr>
          <w:p w:rsidR="00A117FD" w:rsidRPr="00DE7258" w:rsidRDefault="00A117FD" w:rsidP="0069153A">
            <w:pPr>
              <w:tabs>
                <w:tab w:val="left" w:pos="5940"/>
              </w:tabs>
              <w:rPr>
                <w:rFonts w:cstheme="minorHAnsi"/>
                <w:i/>
              </w:rPr>
            </w:pPr>
            <w:r w:rsidRPr="00DE7258">
              <w:rPr>
                <w:rFonts w:cstheme="minorHAnsi"/>
                <w:i/>
              </w:rPr>
              <w:t>__In progress,</w:t>
            </w:r>
          </w:p>
          <w:p w:rsidR="00A117FD" w:rsidRPr="00DE7258" w:rsidRDefault="00A117FD" w:rsidP="0069153A">
            <w:pPr>
              <w:tabs>
                <w:tab w:val="left" w:pos="5940"/>
              </w:tabs>
              <w:rPr>
                <w:rFonts w:cstheme="minorHAnsi"/>
                <w:i/>
              </w:rPr>
            </w:pPr>
            <w:r w:rsidRPr="00DE7258">
              <w:rPr>
                <w:rFonts w:cstheme="minorHAnsi"/>
                <w:i/>
              </w:rPr>
              <w:t>__Completed</w:t>
            </w:r>
          </w:p>
          <w:p w:rsidR="00A117FD" w:rsidRPr="00DE7258" w:rsidRDefault="00A117FD" w:rsidP="0069153A">
            <w:pPr>
              <w:tabs>
                <w:tab w:val="left" w:pos="5940"/>
              </w:tabs>
              <w:rPr>
                <w:rFonts w:cstheme="minorHAnsi"/>
                <w:i/>
              </w:rPr>
            </w:pPr>
            <w:r w:rsidRPr="00DE7258">
              <w:rPr>
                <w:rFonts w:cstheme="minorHAnsi"/>
                <w:i/>
              </w:rPr>
              <w:t>__Change in direction</w:t>
            </w:r>
          </w:p>
        </w:tc>
      </w:tr>
      <w:tr w:rsidR="00A117FD" w:rsidRPr="00DE7258" w:rsidTr="00A117FD">
        <w:trPr>
          <w:trHeight w:val="341"/>
        </w:trPr>
        <w:tc>
          <w:tcPr>
            <w:tcW w:w="2448" w:type="dxa"/>
          </w:tcPr>
          <w:p w:rsidR="00A117FD" w:rsidRPr="00DE7258" w:rsidRDefault="00FC7278" w:rsidP="0069153A">
            <w:pPr>
              <w:tabs>
                <w:tab w:val="left" w:pos="5940"/>
              </w:tabs>
              <w:ind w:left="288" w:hanging="288"/>
              <w:rPr>
                <w:rFonts w:cstheme="minorHAnsi"/>
                <w:color w:val="FF0000"/>
              </w:rPr>
            </w:pPr>
            <w:r w:rsidRPr="00DE7258">
              <w:rPr>
                <w:rFonts w:cstheme="minorHAnsi"/>
                <w:color w:val="FF0000"/>
              </w:rPr>
              <w:t>VPA</w:t>
            </w:r>
          </w:p>
          <w:p w:rsidR="00A117FD" w:rsidRPr="00DE7258" w:rsidRDefault="00FC7278" w:rsidP="0069153A">
            <w:pPr>
              <w:tabs>
                <w:tab w:val="left" w:pos="5940"/>
              </w:tabs>
              <w:ind w:left="288" w:hanging="288"/>
              <w:rPr>
                <w:rFonts w:cstheme="minorHAnsi"/>
              </w:rPr>
            </w:pPr>
            <w:r w:rsidRPr="00DE7258">
              <w:rPr>
                <w:rFonts w:cstheme="minorHAnsi"/>
              </w:rPr>
              <w:t xml:space="preserve">Revise Facilities Master Plan to align with revised Education Master Plan </w:t>
            </w:r>
          </w:p>
        </w:tc>
        <w:tc>
          <w:tcPr>
            <w:tcW w:w="7117" w:type="dxa"/>
          </w:tcPr>
          <w:p w:rsidR="00A117FD" w:rsidRPr="00DE7258" w:rsidRDefault="00A117FD" w:rsidP="0069153A">
            <w:pPr>
              <w:tabs>
                <w:tab w:val="left" w:pos="5940"/>
              </w:tabs>
              <w:ind w:left="288" w:hanging="288"/>
              <w:rPr>
                <w:rFonts w:cstheme="minorHAnsi"/>
              </w:rPr>
            </w:pPr>
            <w:r w:rsidRPr="00DE7258">
              <w:rPr>
                <w:rFonts w:cstheme="minorHAnsi"/>
              </w:rPr>
              <w:t xml:space="preserve">Please provide an update below. Can you discuss results of the evaluation plan, or an altered evaluation plan:  </w:t>
            </w:r>
          </w:p>
          <w:p w:rsidR="00A117FD" w:rsidRPr="00DE7258" w:rsidRDefault="00FC7278" w:rsidP="0069153A">
            <w:pPr>
              <w:tabs>
                <w:tab w:val="left" w:pos="5940"/>
              </w:tabs>
              <w:ind w:left="288" w:hanging="288"/>
              <w:rPr>
                <w:rFonts w:cstheme="minorHAnsi"/>
                <w:i/>
              </w:rPr>
            </w:pPr>
            <w:r w:rsidRPr="00DE7258">
              <w:rPr>
                <w:rFonts w:cstheme="minorHAnsi"/>
                <w:i/>
              </w:rPr>
              <w:t>Has a plan been presented?</w:t>
            </w:r>
          </w:p>
          <w:p w:rsidR="005A017F" w:rsidRPr="00DE7258" w:rsidRDefault="005A017F" w:rsidP="005A017F">
            <w:pPr>
              <w:tabs>
                <w:tab w:val="left" w:pos="5940"/>
              </w:tabs>
              <w:ind w:left="288" w:hanging="288"/>
              <w:rPr>
                <w:rFonts w:cstheme="minorHAnsi"/>
              </w:rPr>
            </w:pPr>
          </w:p>
          <w:p w:rsidR="00EF71E8" w:rsidRPr="00DE7258" w:rsidRDefault="00EF71E8" w:rsidP="00EF71E8">
            <w:pPr>
              <w:ind w:left="288" w:hanging="288"/>
              <w:rPr>
                <w:rFonts w:cstheme="minorHAnsi"/>
              </w:rPr>
            </w:pPr>
            <w:r w:rsidRPr="00DE7258">
              <w:rPr>
                <w:rFonts w:cstheme="minorHAnsi"/>
              </w:rPr>
              <w:t xml:space="preserve">The Facilities Master Plan update process began in January of 2022, and the updated FMP should be ready by fall of 2022.  The updated FMP will be aligned with the revised Education Master Plan. </w:t>
            </w:r>
          </w:p>
          <w:p w:rsidR="006347C2" w:rsidRPr="00DE7258" w:rsidRDefault="006347C2" w:rsidP="00FC7278">
            <w:pPr>
              <w:tabs>
                <w:tab w:val="left" w:pos="5940"/>
              </w:tabs>
              <w:rPr>
                <w:rFonts w:eastAsia="Times New Roman" w:cstheme="minorHAnsi"/>
                <w:i/>
              </w:rPr>
            </w:pPr>
          </w:p>
        </w:tc>
        <w:tc>
          <w:tcPr>
            <w:tcW w:w="1523" w:type="dxa"/>
          </w:tcPr>
          <w:p w:rsidR="00A117FD" w:rsidRPr="00DE7258" w:rsidRDefault="00A117FD" w:rsidP="0069153A">
            <w:pPr>
              <w:tabs>
                <w:tab w:val="left" w:pos="5940"/>
              </w:tabs>
              <w:rPr>
                <w:rFonts w:cstheme="minorHAnsi"/>
                <w:i/>
              </w:rPr>
            </w:pPr>
            <w:r w:rsidRPr="00DE7258">
              <w:rPr>
                <w:rFonts w:cstheme="minorHAnsi"/>
                <w:i/>
              </w:rPr>
              <w:t>__In progress,</w:t>
            </w:r>
          </w:p>
          <w:p w:rsidR="00A117FD" w:rsidRPr="00DE7258" w:rsidRDefault="00A117FD" w:rsidP="0069153A">
            <w:pPr>
              <w:tabs>
                <w:tab w:val="left" w:pos="5940"/>
              </w:tabs>
              <w:rPr>
                <w:rFonts w:cstheme="minorHAnsi"/>
                <w:i/>
              </w:rPr>
            </w:pPr>
            <w:r w:rsidRPr="00DE7258">
              <w:rPr>
                <w:rFonts w:cstheme="minorHAnsi"/>
                <w:i/>
              </w:rPr>
              <w:t>__Completed</w:t>
            </w:r>
          </w:p>
          <w:p w:rsidR="00A117FD" w:rsidRPr="00DE7258" w:rsidRDefault="00A117FD" w:rsidP="0069153A">
            <w:pPr>
              <w:tabs>
                <w:tab w:val="left" w:pos="5940"/>
              </w:tabs>
              <w:rPr>
                <w:rFonts w:cstheme="minorHAnsi"/>
                <w:i/>
              </w:rPr>
            </w:pPr>
            <w:r w:rsidRPr="00DE7258">
              <w:rPr>
                <w:rFonts w:cstheme="minorHAnsi"/>
                <w:i/>
              </w:rPr>
              <w:t>__Change in direction</w:t>
            </w:r>
          </w:p>
        </w:tc>
      </w:tr>
      <w:tr w:rsidR="00A117FD" w:rsidRPr="00DE7258" w:rsidTr="00A117FD">
        <w:trPr>
          <w:trHeight w:val="341"/>
        </w:trPr>
        <w:tc>
          <w:tcPr>
            <w:tcW w:w="2448" w:type="dxa"/>
          </w:tcPr>
          <w:p w:rsidR="00BF3BE7" w:rsidRPr="00DE7258" w:rsidRDefault="00FC7278" w:rsidP="0069153A">
            <w:pPr>
              <w:tabs>
                <w:tab w:val="left" w:pos="5940"/>
              </w:tabs>
              <w:rPr>
                <w:rFonts w:cstheme="minorHAnsi"/>
                <w:color w:val="FF0000"/>
              </w:rPr>
            </w:pPr>
            <w:r w:rsidRPr="00DE7258">
              <w:rPr>
                <w:rFonts w:cstheme="minorHAnsi"/>
                <w:color w:val="FF0000"/>
              </w:rPr>
              <w:t>VPI</w:t>
            </w:r>
          </w:p>
          <w:p w:rsidR="00FC7278" w:rsidRPr="00DE7258" w:rsidRDefault="00FC7278" w:rsidP="0069153A">
            <w:pPr>
              <w:tabs>
                <w:tab w:val="left" w:pos="5940"/>
              </w:tabs>
              <w:rPr>
                <w:rFonts w:cstheme="minorHAnsi"/>
                <w:color w:val="FF0000"/>
              </w:rPr>
            </w:pPr>
            <w:r w:rsidRPr="00DE7258">
              <w:rPr>
                <w:rFonts w:cstheme="minorHAnsi"/>
                <w:color w:val="FF0000"/>
              </w:rPr>
              <w:t>VPSS</w:t>
            </w:r>
          </w:p>
          <w:p w:rsidR="00A117FD" w:rsidRPr="00DE7258" w:rsidRDefault="00FC7278" w:rsidP="0069153A">
            <w:pPr>
              <w:tabs>
                <w:tab w:val="left" w:pos="5940"/>
              </w:tabs>
              <w:ind w:left="288" w:hanging="288"/>
              <w:rPr>
                <w:rFonts w:cstheme="minorHAnsi"/>
              </w:rPr>
            </w:pPr>
            <w:r w:rsidRPr="00DE7258">
              <w:rPr>
                <w:rFonts w:cstheme="minorHAnsi"/>
              </w:rPr>
              <w:t>Update the Program Review Template</w:t>
            </w:r>
          </w:p>
        </w:tc>
        <w:tc>
          <w:tcPr>
            <w:tcW w:w="7117" w:type="dxa"/>
          </w:tcPr>
          <w:p w:rsidR="00DE7258" w:rsidRPr="00DE7258" w:rsidRDefault="00DE7258" w:rsidP="00DE7258">
            <w:pPr>
              <w:spacing w:after="240"/>
              <w:rPr>
                <w:rFonts w:cstheme="minorHAnsi"/>
              </w:rPr>
            </w:pPr>
            <w:r w:rsidRPr="00DE7258">
              <w:rPr>
                <w:rFonts w:cstheme="minorHAnsi"/>
              </w:rPr>
              <w:t xml:space="preserve">On the Instructional Review Template, “Evaluation of Previous Plans” tab, the header on the third column </w:t>
            </w:r>
            <w:r w:rsidRPr="00DE7258">
              <w:rPr>
                <w:rFonts w:cstheme="minorHAnsi"/>
              </w:rPr>
              <w:t xml:space="preserve">was changed </w:t>
            </w:r>
            <w:r w:rsidRPr="00DE7258">
              <w:rPr>
                <w:rFonts w:cstheme="minorHAnsi"/>
              </w:rPr>
              <w:t>to read: “If complete, describe how outcome assessment data or documented dialog (or student achievement data) illustrates the extent to which the completion of this plan led to an improvement in the program. If "In Progress" or "Not Started" explain why the plan is not complete and what improvements, if any, have been measured to date. . If the plan has been abandoned (i.e. no longer pursued) please explain why.”</w:t>
            </w:r>
            <w:r w:rsidRPr="00DE7258">
              <w:rPr>
                <w:rFonts w:cstheme="minorHAnsi"/>
              </w:rPr>
              <w:br/>
            </w:r>
          </w:p>
          <w:p w:rsidR="00DE7258" w:rsidRPr="00DE7258" w:rsidRDefault="00DE7258" w:rsidP="00DE7258">
            <w:pPr>
              <w:spacing w:after="240"/>
              <w:rPr>
                <w:rFonts w:cstheme="minorHAnsi"/>
              </w:rPr>
            </w:pPr>
            <w:r w:rsidRPr="00DE7258">
              <w:rPr>
                <w:rFonts w:cstheme="minorHAnsi"/>
              </w:rPr>
              <w:t xml:space="preserve">On the Instructional Review Template, “Planning” tab, the header on the 3rd column </w:t>
            </w:r>
            <w:r w:rsidRPr="00DE7258">
              <w:rPr>
                <w:rFonts w:cstheme="minorHAnsi"/>
              </w:rPr>
              <w:t xml:space="preserve">was changed </w:t>
            </w:r>
            <w:r w:rsidRPr="00DE7258">
              <w:rPr>
                <w:rFonts w:cstheme="minorHAnsi"/>
              </w:rPr>
              <w:t>to read: “Explain the specific outcome assessment or documented dialog (or student achievement) data that led to the creation of</w:t>
            </w:r>
            <w:r w:rsidRPr="00DE7258">
              <w:rPr>
                <w:rFonts w:cstheme="minorHAnsi"/>
              </w:rPr>
              <w:t xml:space="preserve"> this plan.”</w:t>
            </w:r>
          </w:p>
          <w:p w:rsidR="00DE7258" w:rsidRPr="00DE7258" w:rsidRDefault="00DE7258" w:rsidP="00DE7258">
            <w:pPr>
              <w:spacing w:after="240"/>
              <w:rPr>
                <w:rFonts w:cstheme="minorHAnsi"/>
              </w:rPr>
            </w:pPr>
            <w:r w:rsidRPr="00DE7258">
              <w:rPr>
                <w:rFonts w:cstheme="minorHAnsi"/>
              </w:rPr>
              <w:t xml:space="preserve">On just the Student Services Review Template, “Critical Reflection of Assessment Activities” tab, the following </w:t>
            </w:r>
            <w:r w:rsidRPr="00DE7258">
              <w:rPr>
                <w:rFonts w:cstheme="minorHAnsi"/>
              </w:rPr>
              <w:t xml:space="preserve"> was deleted </w:t>
            </w:r>
            <w:r w:rsidRPr="00DE7258">
              <w:rPr>
                <w:rFonts w:cstheme="minorHAnsi"/>
              </w:rPr>
              <w:t>(along with the two pull-down menus):</w:t>
            </w:r>
            <w:r w:rsidRPr="00DE7258">
              <w:rPr>
                <w:rFonts w:cstheme="minorHAnsi"/>
              </w:rPr>
              <w:br/>
            </w:r>
            <w:r w:rsidRPr="00DE7258">
              <w:rPr>
                <w:rFonts w:cstheme="minorHAnsi"/>
              </w:rPr>
              <w:br/>
              <w:t xml:space="preserve">Have you checked to make sure that all of the AA-Ts in your program are </w:t>
            </w:r>
            <w:r w:rsidRPr="00DE7258">
              <w:rPr>
                <w:rFonts w:cstheme="minorHAnsi"/>
              </w:rPr>
              <w:lastRenderedPageBreak/>
              <w:t>current wi</w:t>
            </w:r>
            <w:r w:rsidRPr="00DE7258">
              <w:rPr>
                <w:rFonts w:cstheme="minorHAnsi"/>
              </w:rPr>
              <w:t>th the state C-ID/TMC?</w:t>
            </w:r>
          </w:p>
          <w:p w:rsidR="00DE7258" w:rsidRPr="00DE7258" w:rsidRDefault="00DE7258" w:rsidP="00DE7258">
            <w:pPr>
              <w:rPr>
                <w:rFonts w:cstheme="minorHAnsi"/>
              </w:rPr>
            </w:pPr>
            <w:r w:rsidRPr="00DE7258">
              <w:rPr>
                <w:rFonts w:cstheme="minorHAnsi"/>
              </w:rPr>
              <w:t>The Program Review Committee</w:t>
            </w:r>
            <w:r w:rsidRPr="00DE7258">
              <w:rPr>
                <w:rFonts w:cstheme="minorHAnsi"/>
              </w:rPr>
              <w:t xml:space="preserve"> also requested the changes in the attachment that all speak to “tightening up” the relationships between planning, assessment, and resource allocation.</w:t>
            </w:r>
          </w:p>
          <w:p w:rsidR="00FC7278" w:rsidRPr="00DE7258" w:rsidRDefault="00FC7278" w:rsidP="00CE0182">
            <w:pPr>
              <w:tabs>
                <w:tab w:val="left" w:pos="5940"/>
              </w:tabs>
              <w:ind w:left="288" w:hanging="288"/>
              <w:rPr>
                <w:rFonts w:eastAsia="Times New Roman" w:cstheme="minorHAnsi"/>
              </w:rPr>
            </w:pPr>
          </w:p>
          <w:p w:rsidR="00466C91" w:rsidRPr="00DE7258" w:rsidRDefault="00466C91" w:rsidP="00CE0182">
            <w:pPr>
              <w:tabs>
                <w:tab w:val="left" w:pos="5940"/>
              </w:tabs>
              <w:ind w:left="288" w:hanging="288"/>
              <w:rPr>
                <w:rFonts w:eastAsia="Times New Roman" w:cstheme="minorHAnsi"/>
              </w:rPr>
            </w:pPr>
          </w:p>
          <w:p w:rsidR="00466C91" w:rsidRPr="00DE7258" w:rsidRDefault="00466C91" w:rsidP="00CE0182">
            <w:pPr>
              <w:tabs>
                <w:tab w:val="left" w:pos="5940"/>
              </w:tabs>
              <w:ind w:left="288" w:hanging="288"/>
              <w:rPr>
                <w:rFonts w:eastAsia="Times New Roman" w:cstheme="minorHAnsi"/>
              </w:rPr>
            </w:pPr>
          </w:p>
        </w:tc>
        <w:tc>
          <w:tcPr>
            <w:tcW w:w="1523" w:type="dxa"/>
          </w:tcPr>
          <w:p w:rsidR="00A117FD" w:rsidRPr="00DE7258" w:rsidRDefault="00A117FD" w:rsidP="0069153A">
            <w:pPr>
              <w:tabs>
                <w:tab w:val="left" w:pos="5940"/>
              </w:tabs>
              <w:rPr>
                <w:rFonts w:cstheme="minorHAnsi"/>
                <w:i/>
              </w:rPr>
            </w:pPr>
            <w:r w:rsidRPr="00DE7258">
              <w:rPr>
                <w:rFonts w:cstheme="minorHAnsi"/>
                <w:i/>
              </w:rPr>
              <w:lastRenderedPageBreak/>
              <w:t>__In progress,</w:t>
            </w:r>
          </w:p>
          <w:p w:rsidR="00A117FD" w:rsidRPr="00DE7258" w:rsidRDefault="00A117FD" w:rsidP="0069153A">
            <w:pPr>
              <w:tabs>
                <w:tab w:val="left" w:pos="5940"/>
              </w:tabs>
              <w:rPr>
                <w:rFonts w:cstheme="minorHAnsi"/>
                <w:i/>
              </w:rPr>
            </w:pPr>
            <w:r w:rsidRPr="00DE7258">
              <w:rPr>
                <w:rFonts w:cstheme="minorHAnsi"/>
                <w:i/>
              </w:rPr>
              <w:t>__Completed</w:t>
            </w:r>
          </w:p>
          <w:p w:rsidR="00A117FD" w:rsidRPr="00DE7258" w:rsidRDefault="00A117FD" w:rsidP="0069153A">
            <w:pPr>
              <w:tabs>
                <w:tab w:val="left" w:pos="5940"/>
              </w:tabs>
              <w:rPr>
                <w:rFonts w:cstheme="minorHAnsi"/>
                <w:i/>
              </w:rPr>
            </w:pPr>
            <w:r w:rsidRPr="00DE7258">
              <w:rPr>
                <w:rFonts w:cstheme="minorHAnsi"/>
                <w:i/>
              </w:rPr>
              <w:t>__Change in direction</w:t>
            </w:r>
          </w:p>
        </w:tc>
      </w:tr>
      <w:tr w:rsidR="00A117FD" w:rsidRPr="00DE7258" w:rsidTr="00A117FD">
        <w:trPr>
          <w:trHeight w:val="341"/>
        </w:trPr>
        <w:tc>
          <w:tcPr>
            <w:tcW w:w="2448" w:type="dxa"/>
          </w:tcPr>
          <w:p w:rsidR="00CE0182" w:rsidRPr="00DE7258" w:rsidRDefault="00FC7278" w:rsidP="0069153A">
            <w:pPr>
              <w:tabs>
                <w:tab w:val="left" w:pos="5940"/>
              </w:tabs>
              <w:rPr>
                <w:rFonts w:cstheme="minorHAnsi"/>
                <w:color w:val="FF0000"/>
              </w:rPr>
            </w:pPr>
            <w:r w:rsidRPr="00DE7258">
              <w:rPr>
                <w:rFonts w:cstheme="minorHAnsi"/>
                <w:color w:val="FF0000"/>
              </w:rPr>
              <w:t>Institutional Effectiveness</w:t>
            </w:r>
          </w:p>
          <w:p w:rsidR="00A117FD" w:rsidRPr="00DE7258" w:rsidRDefault="00FC7278" w:rsidP="0069153A">
            <w:pPr>
              <w:tabs>
                <w:tab w:val="left" w:pos="5940"/>
              </w:tabs>
              <w:rPr>
                <w:rFonts w:cstheme="minorHAnsi"/>
              </w:rPr>
            </w:pPr>
            <w:r w:rsidRPr="00DE7258">
              <w:rPr>
                <w:rFonts w:cstheme="minorHAnsi"/>
              </w:rPr>
              <w:t>Update Assessment Documentation</w:t>
            </w:r>
          </w:p>
        </w:tc>
        <w:tc>
          <w:tcPr>
            <w:tcW w:w="7117" w:type="dxa"/>
          </w:tcPr>
          <w:p w:rsidR="0045155B" w:rsidRPr="00DE7258" w:rsidRDefault="0045155B" w:rsidP="0069153A">
            <w:pPr>
              <w:tabs>
                <w:tab w:val="left" w:pos="5940"/>
              </w:tabs>
              <w:ind w:left="288" w:hanging="288"/>
              <w:rPr>
                <w:rFonts w:eastAsia="Times New Roman" w:cstheme="minorHAnsi"/>
              </w:rPr>
            </w:pPr>
            <w:r w:rsidRPr="00DE7258">
              <w:rPr>
                <w:rFonts w:eastAsia="Times New Roman" w:cstheme="minorHAnsi"/>
              </w:rPr>
              <w:t>A new Assessment Handbook can be found at:</w:t>
            </w:r>
          </w:p>
          <w:p w:rsidR="0045155B" w:rsidRPr="00DE7258" w:rsidRDefault="00DE7258" w:rsidP="0069153A">
            <w:pPr>
              <w:tabs>
                <w:tab w:val="left" w:pos="5940"/>
              </w:tabs>
              <w:ind w:left="288" w:hanging="288"/>
              <w:rPr>
                <w:rFonts w:eastAsia="Times New Roman" w:cstheme="minorHAnsi"/>
              </w:rPr>
            </w:pPr>
            <w:hyperlink r:id="rId9" w:history="1">
              <w:r w:rsidR="0045155B" w:rsidRPr="00DE7258">
                <w:rPr>
                  <w:rStyle w:val="Hyperlink"/>
                  <w:rFonts w:eastAsia="Times New Roman" w:cstheme="minorHAnsi"/>
                </w:rPr>
                <w:t>https://www.redwoods.edu/assess/Home/Resources</w:t>
              </w:r>
            </w:hyperlink>
          </w:p>
          <w:p w:rsidR="0045155B" w:rsidRPr="00DE7258" w:rsidRDefault="0045155B" w:rsidP="0069153A">
            <w:pPr>
              <w:tabs>
                <w:tab w:val="left" w:pos="5940"/>
              </w:tabs>
              <w:ind w:left="288" w:hanging="288"/>
              <w:rPr>
                <w:rFonts w:eastAsia="Times New Roman" w:cstheme="minorHAnsi"/>
              </w:rPr>
            </w:pPr>
          </w:p>
          <w:p w:rsidR="00466C91" w:rsidRPr="00DE7258" w:rsidRDefault="005D416E" w:rsidP="0069153A">
            <w:pPr>
              <w:tabs>
                <w:tab w:val="left" w:pos="5940"/>
              </w:tabs>
              <w:ind w:left="288" w:hanging="288"/>
              <w:rPr>
                <w:rFonts w:eastAsia="Times New Roman" w:cstheme="minorHAnsi"/>
              </w:rPr>
            </w:pPr>
            <w:r w:rsidRPr="00DE7258">
              <w:rPr>
                <w:rFonts w:eastAsia="Times New Roman" w:cstheme="minorHAnsi"/>
              </w:rPr>
              <w:t>Accreditation E</w:t>
            </w:r>
            <w:r w:rsidR="0045155B" w:rsidRPr="00DE7258">
              <w:rPr>
                <w:rFonts w:eastAsia="Times New Roman" w:cstheme="minorHAnsi"/>
              </w:rPr>
              <w:t>vidence for the ISER has been provided.  The narratives and evidence can be found at the following links:</w:t>
            </w:r>
          </w:p>
          <w:p w:rsidR="0045155B" w:rsidRPr="00DE7258" w:rsidRDefault="00DE7258" w:rsidP="0069153A">
            <w:pPr>
              <w:tabs>
                <w:tab w:val="left" w:pos="5940"/>
              </w:tabs>
              <w:ind w:left="288" w:hanging="288"/>
              <w:rPr>
                <w:rFonts w:eastAsia="Times New Roman" w:cstheme="minorHAnsi"/>
              </w:rPr>
            </w:pPr>
            <w:hyperlink r:id="rId10" w:history="1">
              <w:r w:rsidR="0045155B" w:rsidRPr="00DE7258">
                <w:rPr>
                  <w:rStyle w:val="Hyperlink"/>
                  <w:rFonts w:eastAsia="Times New Roman" w:cstheme="minorHAnsi"/>
                </w:rPr>
                <w:t>https://www.redwoods.edu/accreditation/NewHome/Midterm-Report/2021Details/ArtMID/21688/ArticleID/5627/Recommendation-4-SLO-Response</w:t>
              </w:r>
            </w:hyperlink>
          </w:p>
          <w:p w:rsidR="0045155B" w:rsidRPr="00DE7258" w:rsidRDefault="00DE7258" w:rsidP="0069153A">
            <w:pPr>
              <w:tabs>
                <w:tab w:val="left" w:pos="5940"/>
              </w:tabs>
              <w:ind w:left="288" w:hanging="288"/>
              <w:rPr>
                <w:rFonts w:eastAsia="Times New Roman" w:cstheme="minorHAnsi"/>
              </w:rPr>
            </w:pPr>
            <w:hyperlink r:id="rId11" w:history="1">
              <w:r w:rsidR="0045155B" w:rsidRPr="00DE7258">
                <w:rPr>
                  <w:rStyle w:val="Hyperlink"/>
                  <w:rFonts w:eastAsia="Times New Roman" w:cstheme="minorHAnsi"/>
                </w:rPr>
                <w:t>https://www.redwoods.edu/accreditation/NewHome/Midterm-Report/2021Details/ArtMID/21688/ArticleID/5629/Recommendation-6-Outcome-assessment-and-data-primarily-for-student-service-areas</w:t>
              </w:r>
            </w:hyperlink>
          </w:p>
          <w:p w:rsidR="0045155B" w:rsidRPr="00DE7258" w:rsidRDefault="00DE7258" w:rsidP="0069153A">
            <w:pPr>
              <w:tabs>
                <w:tab w:val="left" w:pos="5940"/>
              </w:tabs>
              <w:ind w:left="288" w:hanging="288"/>
              <w:rPr>
                <w:rFonts w:eastAsia="Times New Roman" w:cstheme="minorHAnsi"/>
              </w:rPr>
            </w:pPr>
            <w:hyperlink r:id="rId12" w:history="1">
              <w:r w:rsidR="0045155B" w:rsidRPr="00DE7258">
                <w:rPr>
                  <w:rStyle w:val="Hyperlink"/>
                  <w:rFonts w:eastAsia="Times New Roman" w:cstheme="minorHAnsi"/>
                </w:rPr>
                <w:t>https://www.redwoods.edu/accreditation/NewHome/Midterm-Report/2021Details/ArtMID/21688/ArticleID/5631/Student-Learning-Outcomes-Standard-IB2</w:t>
              </w:r>
            </w:hyperlink>
          </w:p>
          <w:p w:rsidR="0045155B" w:rsidRPr="00DE7258" w:rsidRDefault="0045155B" w:rsidP="0069153A">
            <w:pPr>
              <w:tabs>
                <w:tab w:val="left" w:pos="5940"/>
              </w:tabs>
              <w:ind w:left="288" w:hanging="288"/>
              <w:rPr>
                <w:rFonts w:eastAsia="Times New Roman" w:cstheme="minorHAnsi"/>
              </w:rPr>
            </w:pPr>
          </w:p>
          <w:p w:rsidR="00466C91" w:rsidRPr="00DE7258" w:rsidRDefault="00466C91" w:rsidP="0069153A">
            <w:pPr>
              <w:tabs>
                <w:tab w:val="left" w:pos="5940"/>
              </w:tabs>
              <w:ind w:left="288" w:hanging="288"/>
              <w:rPr>
                <w:rFonts w:eastAsia="Times New Roman" w:cstheme="minorHAnsi"/>
              </w:rPr>
            </w:pPr>
          </w:p>
        </w:tc>
        <w:tc>
          <w:tcPr>
            <w:tcW w:w="1523" w:type="dxa"/>
          </w:tcPr>
          <w:p w:rsidR="00A117FD" w:rsidRPr="00DE7258" w:rsidRDefault="00A117FD" w:rsidP="0069153A">
            <w:pPr>
              <w:tabs>
                <w:tab w:val="left" w:pos="5940"/>
              </w:tabs>
              <w:rPr>
                <w:rFonts w:cstheme="minorHAnsi"/>
                <w:i/>
              </w:rPr>
            </w:pPr>
            <w:r w:rsidRPr="00DE7258">
              <w:rPr>
                <w:rFonts w:cstheme="minorHAnsi"/>
                <w:i/>
              </w:rPr>
              <w:t>__In progress,</w:t>
            </w:r>
          </w:p>
          <w:p w:rsidR="00A117FD" w:rsidRPr="00DE7258" w:rsidRDefault="00A117FD" w:rsidP="0069153A">
            <w:pPr>
              <w:tabs>
                <w:tab w:val="left" w:pos="5940"/>
              </w:tabs>
              <w:rPr>
                <w:rFonts w:cstheme="minorHAnsi"/>
                <w:i/>
              </w:rPr>
            </w:pPr>
            <w:r w:rsidRPr="00DE7258">
              <w:rPr>
                <w:rFonts w:cstheme="minorHAnsi"/>
                <w:i/>
              </w:rPr>
              <w:t>__Completed</w:t>
            </w:r>
          </w:p>
          <w:p w:rsidR="00A117FD" w:rsidRPr="00DE7258" w:rsidRDefault="00A117FD" w:rsidP="0069153A">
            <w:pPr>
              <w:tabs>
                <w:tab w:val="left" w:pos="5940"/>
              </w:tabs>
              <w:rPr>
                <w:rFonts w:cstheme="minorHAnsi"/>
                <w:i/>
              </w:rPr>
            </w:pPr>
            <w:r w:rsidRPr="00DE7258">
              <w:rPr>
                <w:rFonts w:cstheme="minorHAnsi"/>
                <w:i/>
              </w:rPr>
              <w:t>__Change in direction</w:t>
            </w:r>
          </w:p>
        </w:tc>
      </w:tr>
      <w:tr w:rsidR="00466C91" w:rsidRPr="00DE7258" w:rsidTr="00A117FD">
        <w:trPr>
          <w:trHeight w:val="341"/>
        </w:trPr>
        <w:tc>
          <w:tcPr>
            <w:tcW w:w="2448" w:type="dxa"/>
          </w:tcPr>
          <w:p w:rsidR="00466C91" w:rsidRPr="00DE7258" w:rsidRDefault="00466C91" w:rsidP="0069153A">
            <w:pPr>
              <w:tabs>
                <w:tab w:val="left" w:pos="5940"/>
              </w:tabs>
              <w:rPr>
                <w:rFonts w:cstheme="minorHAnsi"/>
                <w:color w:val="FF0000"/>
              </w:rPr>
            </w:pPr>
            <w:r w:rsidRPr="00DE7258">
              <w:rPr>
                <w:rFonts w:cstheme="minorHAnsi"/>
                <w:color w:val="FF0000"/>
              </w:rPr>
              <w:t>President</w:t>
            </w:r>
          </w:p>
          <w:p w:rsidR="00466C91" w:rsidRPr="00DE7258" w:rsidRDefault="00466C91" w:rsidP="0069153A">
            <w:pPr>
              <w:tabs>
                <w:tab w:val="left" w:pos="5940"/>
              </w:tabs>
              <w:rPr>
                <w:rFonts w:cstheme="minorHAnsi"/>
                <w:color w:val="FF0000"/>
              </w:rPr>
            </w:pPr>
            <w:r w:rsidRPr="00DE7258">
              <w:rPr>
                <w:rFonts w:cstheme="minorHAnsi"/>
              </w:rPr>
              <w:t>Revise Education Master Plan</w:t>
            </w:r>
          </w:p>
        </w:tc>
        <w:tc>
          <w:tcPr>
            <w:tcW w:w="7117" w:type="dxa"/>
          </w:tcPr>
          <w:p w:rsidR="00466C91" w:rsidRPr="00DE7258" w:rsidRDefault="00752C36" w:rsidP="00DE7258">
            <w:pPr>
              <w:tabs>
                <w:tab w:val="left" w:pos="5940"/>
              </w:tabs>
              <w:rPr>
                <w:rFonts w:cstheme="minorHAnsi"/>
              </w:rPr>
            </w:pPr>
            <w:r w:rsidRPr="00DE7258">
              <w:rPr>
                <w:rFonts w:cstheme="minorHAnsi"/>
                <w:shd w:val="clear" w:color="auto" w:fill="FFFFFF"/>
              </w:rPr>
              <w:t>The Education Master Plan has been published and distributed. The institution is imbedding the EMP’s strategic directions in all planning and operational initiatives.</w:t>
            </w:r>
          </w:p>
          <w:p w:rsidR="00466C91" w:rsidRPr="00DE7258" w:rsidRDefault="00466C91" w:rsidP="0069153A">
            <w:pPr>
              <w:tabs>
                <w:tab w:val="left" w:pos="5940"/>
              </w:tabs>
              <w:ind w:left="288" w:hanging="288"/>
              <w:rPr>
                <w:rFonts w:cstheme="minorHAnsi"/>
              </w:rPr>
            </w:pPr>
          </w:p>
          <w:p w:rsidR="00466C91" w:rsidRPr="00DE7258" w:rsidRDefault="00466C91" w:rsidP="0069153A">
            <w:pPr>
              <w:tabs>
                <w:tab w:val="left" w:pos="5940"/>
              </w:tabs>
              <w:ind w:left="288" w:hanging="288"/>
              <w:rPr>
                <w:rFonts w:cstheme="minorHAnsi"/>
              </w:rPr>
            </w:pPr>
          </w:p>
          <w:p w:rsidR="00466C91" w:rsidRPr="00DE7258" w:rsidRDefault="00466C91" w:rsidP="0069153A">
            <w:pPr>
              <w:tabs>
                <w:tab w:val="left" w:pos="5940"/>
              </w:tabs>
              <w:ind w:left="288" w:hanging="288"/>
              <w:rPr>
                <w:rFonts w:cstheme="minorHAnsi"/>
              </w:rPr>
            </w:pPr>
          </w:p>
        </w:tc>
        <w:tc>
          <w:tcPr>
            <w:tcW w:w="1523" w:type="dxa"/>
          </w:tcPr>
          <w:p w:rsidR="00466C91" w:rsidRPr="00DE7258" w:rsidRDefault="00466C91" w:rsidP="00466C91">
            <w:pPr>
              <w:tabs>
                <w:tab w:val="left" w:pos="5940"/>
              </w:tabs>
              <w:rPr>
                <w:rFonts w:cstheme="minorHAnsi"/>
                <w:i/>
              </w:rPr>
            </w:pPr>
            <w:r w:rsidRPr="00DE7258">
              <w:rPr>
                <w:rFonts w:cstheme="minorHAnsi"/>
                <w:i/>
              </w:rPr>
              <w:t>__In progress,</w:t>
            </w:r>
          </w:p>
          <w:p w:rsidR="00466C91" w:rsidRPr="00DE7258" w:rsidRDefault="00466C91" w:rsidP="00466C91">
            <w:pPr>
              <w:tabs>
                <w:tab w:val="left" w:pos="5940"/>
              </w:tabs>
              <w:rPr>
                <w:rFonts w:cstheme="minorHAnsi"/>
                <w:i/>
              </w:rPr>
            </w:pPr>
            <w:r w:rsidRPr="00DE7258">
              <w:rPr>
                <w:rFonts w:cstheme="minorHAnsi"/>
                <w:i/>
              </w:rPr>
              <w:t>__Completed</w:t>
            </w:r>
          </w:p>
          <w:p w:rsidR="00466C91" w:rsidRPr="00DE7258" w:rsidRDefault="00466C91" w:rsidP="00466C91">
            <w:pPr>
              <w:tabs>
                <w:tab w:val="left" w:pos="5940"/>
              </w:tabs>
              <w:rPr>
                <w:rFonts w:cstheme="minorHAnsi"/>
                <w:i/>
              </w:rPr>
            </w:pPr>
            <w:r w:rsidRPr="00DE7258">
              <w:rPr>
                <w:rFonts w:cstheme="minorHAnsi"/>
                <w:i/>
              </w:rPr>
              <w:t>__Change in direction</w:t>
            </w:r>
          </w:p>
        </w:tc>
      </w:tr>
      <w:tr w:rsidR="00466C91" w:rsidRPr="00DE7258" w:rsidTr="00A117FD">
        <w:trPr>
          <w:trHeight w:val="341"/>
        </w:trPr>
        <w:tc>
          <w:tcPr>
            <w:tcW w:w="2448" w:type="dxa"/>
          </w:tcPr>
          <w:p w:rsidR="00466C91" w:rsidRPr="00DE7258" w:rsidRDefault="00466C91" w:rsidP="0069153A">
            <w:pPr>
              <w:tabs>
                <w:tab w:val="left" w:pos="5940"/>
              </w:tabs>
              <w:rPr>
                <w:rFonts w:cstheme="minorHAnsi"/>
                <w:color w:val="FF0000"/>
              </w:rPr>
            </w:pPr>
            <w:r w:rsidRPr="00DE7258">
              <w:rPr>
                <w:rFonts w:cstheme="minorHAnsi"/>
                <w:color w:val="FF0000"/>
              </w:rPr>
              <w:t>VPA</w:t>
            </w:r>
          </w:p>
          <w:p w:rsidR="00466C91" w:rsidRPr="00DE7258" w:rsidRDefault="00466C91" w:rsidP="0069153A">
            <w:pPr>
              <w:tabs>
                <w:tab w:val="left" w:pos="5940"/>
              </w:tabs>
              <w:rPr>
                <w:rFonts w:cstheme="minorHAnsi"/>
                <w:color w:val="FF0000"/>
              </w:rPr>
            </w:pPr>
            <w:r w:rsidRPr="00DE7258">
              <w:rPr>
                <w:rFonts w:cstheme="minorHAnsi"/>
              </w:rPr>
              <w:t>Collaborate with Business Office and IT to develop a budget for an on-going replacement cycle of student computers in the Library</w:t>
            </w:r>
          </w:p>
        </w:tc>
        <w:tc>
          <w:tcPr>
            <w:tcW w:w="7117" w:type="dxa"/>
          </w:tcPr>
          <w:p w:rsidR="00AF685E" w:rsidRPr="00DE7258" w:rsidRDefault="00AF685E" w:rsidP="00AF685E">
            <w:pPr>
              <w:rPr>
                <w:rFonts w:cstheme="minorHAnsi"/>
              </w:rPr>
            </w:pPr>
            <w:r w:rsidRPr="00DE7258">
              <w:rPr>
                <w:rFonts w:cstheme="minorHAnsi"/>
              </w:rPr>
              <w:t>IT has identified that approximately $30,000 per year would be an adequate set aside for the on-going replacement of student computers in the Library, along with other technology replacement needs as well.  The District did not commit to setting aside those funds in the 2021-22 budget because the District received a substantial amount of HEERF and has used those funds for technology replacement that enables or enhances distance learning and assists with safe campus operations.</w:t>
            </w:r>
          </w:p>
          <w:p w:rsidR="00466C91" w:rsidRPr="00DE7258" w:rsidRDefault="00466C91" w:rsidP="00466C91">
            <w:pPr>
              <w:tabs>
                <w:tab w:val="left" w:pos="5940"/>
              </w:tabs>
              <w:ind w:left="288" w:hanging="288"/>
              <w:rPr>
                <w:rFonts w:cstheme="minorHAnsi"/>
              </w:rPr>
            </w:pPr>
          </w:p>
        </w:tc>
        <w:tc>
          <w:tcPr>
            <w:tcW w:w="1523" w:type="dxa"/>
          </w:tcPr>
          <w:p w:rsidR="00466C91" w:rsidRPr="00DE7258" w:rsidRDefault="00466C91" w:rsidP="00466C91">
            <w:pPr>
              <w:tabs>
                <w:tab w:val="left" w:pos="5940"/>
              </w:tabs>
              <w:rPr>
                <w:rFonts w:cstheme="minorHAnsi"/>
                <w:i/>
              </w:rPr>
            </w:pPr>
            <w:r w:rsidRPr="00DE7258">
              <w:rPr>
                <w:rFonts w:cstheme="minorHAnsi"/>
                <w:i/>
              </w:rPr>
              <w:t>__In progress,</w:t>
            </w:r>
          </w:p>
          <w:p w:rsidR="00466C91" w:rsidRPr="00DE7258" w:rsidRDefault="00466C91" w:rsidP="00466C91">
            <w:pPr>
              <w:tabs>
                <w:tab w:val="left" w:pos="5940"/>
              </w:tabs>
              <w:rPr>
                <w:rFonts w:cstheme="minorHAnsi"/>
                <w:i/>
              </w:rPr>
            </w:pPr>
            <w:r w:rsidRPr="00DE7258">
              <w:rPr>
                <w:rFonts w:cstheme="minorHAnsi"/>
                <w:i/>
              </w:rPr>
              <w:t>__Completed</w:t>
            </w:r>
          </w:p>
          <w:p w:rsidR="00466C91" w:rsidRPr="00DE7258" w:rsidRDefault="00466C91" w:rsidP="00466C91">
            <w:pPr>
              <w:tabs>
                <w:tab w:val="left" w:pos="5940"/>
              </w:tabs>
              <w:rPr>
                <w:rFonts w:cstheme="minorHAnsi"/>
                <w:i/>
              </w:rPr>
            </w:pPr>
            <w:r w:rsidRPr="00DE7258">
              <w:rPr>
                <w:rFonts w:cstheme="minorHAnsi"/>
                <w:i/>
              </w:rPr>
              <w:t>__Change in direction</w:t>
            </w:r>
          </w:p>
        </w:tc>
      </w:tr>
      <w:tr w:rsidR="00466C91" w:rsidRPr="00DE7258" w:rsidTr="00A117FD">
        <w:trPr>
          <w:trHeight w:val="341"/>
        </w:trPr>
        <w:tc>
          <w:tcPr>
            <w:tcW w:w="2448" w:type="dxa"/>
          </w:tcPr>
          <w:p w:rsidR="00466C91" w:rsidRPr="00DE7258" w:rsidRDefault="00466C91" w:rsidP="0069153A">
            <w:pPr>
              <w:tabs>
                <w:tab w:val="left" w:pos="5940"/>
              </w:tabs>
              <w:rPr>
                <w:rFonts w:cstheme="minorHAnsi"/>
                <w:color w:val="FF0000"/>
              </w:rPr>
            </w:pPr>
            <w:r w:rsidRPr="00DE7258">
              <w:rPr>
                <w:rFonts w:cstheme="minorHAnsi"/>
                <w:color w:val="FF0000"/>
              </w:rPr>
              <w:t>VPI</w:t>
            </w:r>
          </w:p>
          <w:p w:rsidR="00466C91" w:rsidRPr="00DE7258" w:rsidRDefault="00466C91" w:rsidP="0069153A">
            <w:pPr>
              <w:tabs>
                <w:tab w:val="left" w:pos="5940"/>
              </w:tabs>
              <w:rPr>
                <w:rFonts w:cstheme="minorHAnsi"/>
                <w:color w:val="FF0000"/>
              </w:rPr>
            </w:pPr>
            <w:r w:rsidRPr="00DE7258">
              <w:rPr>
                <w:rFonts w:cstheme="minorHAnsi"/>
                <w:color w:val="FF0000"/>
              </w:rPr>
              <w:t>VPA</w:t>
            </w:r>
          </w:p>
          <w:p w:rsidR="00466C91" w:rsidRPr="00DE7258" w:rsidRDefault="00466C91" w:rsidP="0069153A">
            <w:pPr>
              <w:tabs>
                <w:tab w:val="left" w:pos="5940"/>
              </w:tabs>
              <w:rPr>
                <w:rFonts w:cstheme="minorHAnsi"/>
                <w:color w:val="FF0000"/>
              </w:rPr>
            </w:pPr>
            <w:r w:rsidRPr="00DE7258">
              <w:rPr>
                <w:rFonts w:cstheme="minorHAnsi"/>
              </w:rPr>
              <w:t>Coordinate with IT to enhance technology infrastructure for instruction and student services.  Expand use of white boards.</w:t>
            </w:r>
          </w:p>
        </w:tc>
        <w:tc>
          <w:tcPr>
            <w:tcW w:w="7117" w:type="dxa"/>
          </w:tcPr>
          <w:p w:rsidR="00466C91" w:rsidRPr="00DE7258" w:rsidRDefault="001A4ED0" w:rsidP="00DE7258">
            <w:pPr>
              <w:tabs>
                <w:tab w:val="left" w:pos="5940"/>
              </w:tabs>
              <w:ind w:left="-15"/>
              <w:rPr>
                <w:rFonts w:cstheme="minorHAnsi"/>
              </w:rPr>
            </w:pPr>
            <w:r w:rsidRPr="00DE7258">
              <w:rPr>
                <w:rFonts w:cstheme="minorHAnsi"/>
              </w:rPr>
              <w:t>HEERF has been used to upgrade wi-fi at both Eureka and Del Norte to support distance learning, as well as other technology purchases to enable or enhance distance learning or to support campus safety and operations during the pandemic</w:t>
            </w:r>
            <w:r w:rsidR="00EF71E8" w:rsidRPr="00DE7258">
              <w:rPr>
                <w:rFonts w:cstheme="minorHAnsi"/>
              </w:rPr>
              <w:t>.</w:t>
            </w:r>
          </w:p>
        </w:tc>
        <w:tc>
          <w:tcPr>
            <w:tcW w:w="1523" w:type="dxa"/>
          </w:tcPr>
          <w:p w:rsidR="00466C91" w:rsidRPr="00DE7258" w:rsidRDefault="00466C91" w:rsidP="00466C91">
            <w:pPr>
              <w:tabs>
                <w:tab w:val="left" w:pos="5940"/>
              </w:tabs>
              <w:rPr>
                <w:rFonts w:cstheme="minorHAnsi"/>
                <w:i/>
              </w:rPr>
            </w:pPr>
            <w:r w:rsidRPr="00DE7258">
              <w:rPr>
                <w:rFonts w:cstheme="minorHAnsi"/>
                <w:i/>
              </w:rPr>
              <w:t>__In progress,</w:t>
            </w:r>
          </w:p>
          <w:p w:rsidR="00466C91" w:rsidRPr="00DE7258" w:rsidRDefault="00466C91" w:rsidP="00466C91">
            <w:pPr>
              <w:tabs>
                <w:tab w:val="left" w:pos="5940"/>
              </w:tabs>
              <w:rPr>
                <w:rFonts w:cstheme="minorHAnsi"/>
                <w:i/>
              </w:rPr>
            </w:pPr>
            <w:r w:rsidRPr="00DE7258">
              <w:rPr>
                <w:rFonts w:cstheme="minorHAnsi"/>
                <w:i/>
              </w:rPr>
              <w:t>__Completed</w:t>
            </w:r>
          </w:p>
          <w:p w:rsidR="00466C91" w:rsidRPr="00DE7258" w:rsidRDefault="00466C91" w:rsidP="00466C91">
            <w:pPr>
              <w:tabs>
                <w:tab w:val="left" w:pos="5940"/>
              </w:tabs>
              <w:rPr>
                <w:rFonts w:cstheme="minorHAnsi"/>
                <w:i/>
              </w:rPr>
            </w:pPr>
            <w:r w:rsidRPr="00DE7258">
              <w:rPr>
                <w:rFonts w:cstheme="minorHAnsi"/>
                <w:i/>
              </w:rPr>
              <w:t>__Change in direction</w:t>
            </w:r>
          </w:p>
        </w:tc>
      </w:tr>
      <w:tr w:rsidR="00466C91" w:rsidRPr="00DE7258" w:rsidTr="00A117FD">
        <w:trPr>
          <w:trHeight w:val="341"/>
        </w:trPr>
        <w:tc>
          <w:tcPr>
            <w:tcW w:w="2448" w:type="dxa"/>
          </w:tcPr>
          <w:p w:rsidR="00466C91" w:rsidRPr="00DE7258" w:rsidRDefault="00466C91" w:rsidP="0069153A">
            <w:pPr>
              <w:tabs>
                <w:tab w:val="left" w:pos="5940"/>
              </w:tabs>
              <w:rPr>
                <w:rFonts w:cstheme="minorHAnsi"/>
                <w:color w:val="FF0000"/>
              </w:rPr>
            </w:pPr>
            <w:r w:rsidRPr="00DE7258">
              <w:rPr>
                <w:rFonts w:cstheme="minorHAnsi"/>
                <w:color w:val="FF0000"/>
              </w:rPr>
              <w:t>VPHR</w:t>
            </w:r>
          </w:p>
          <w:p w:rsidR="00466C91" w:rsidRPr="00DE7258" w:rsidRDefault="00466C91" w:rsidP="0069153A">
            <w:pPr>
              <w:tabs>
                <w:tab w:val="left" w:pos="5940"/>
              </w:tabs>
              <w:rPr>
                <w:rFonts w:cstheme="minorHAnsi"/>
                <w:color w:val="FF0000"/>
              </w:rPr>
            </w:pPr>
            <w:r w:rsidRPr="00DE7258">
              <w:rPr>
                <w:rFonts w:cstheme="minorHAnsi"/>
              </w:rPr>
              <w:t xml:space="preserve">Implement Ellucian Self Service- Time Entry </w:t>
            </w:r>
            <w:r w:rsidRPr="00DE7258">
              <w:rPr>
                <w:rFonts w:cstheme="minorHAnsi"/>
              </w:rPr>
              <w:lastRenderedPageBreak/>
              <w:t>System.</w:t>
            </w:r>
          </w:p>
        </w:tc>
        <w:tc>
          <w:tcPr>
            <w:tcW w:w="7117" w:type="dxa"/>
          </w:tcPr>
          <w:p w:rsidR="008242EE" w:rsidRPr="00DE7258" w:rsidRDefault="008242EE" w:rsidP="008242EE">
            <w:pPr>
              <w:tabs>
                <w:tab w:val="left" w:pos="5940"/>
              </w:tabs>
              <w:ind w:left="288" w:hanging="288"/>
              <w:rPr>
                <w:rFonts w:cstheme="minorHAnsi"/>
              </w:rPr>
            </w:pPr>
            <w:r w:rsidRPr="00DE7258">
              <w:rPr>
                <w:rFonts w:cstheme="minorHAnsi"/>
              </w:rPr>
              <w:lastRenderedPageBreak/>
              <w:t xml:space="preserve">Please provide an update below. Can you discuss results of the evaluation plan, or an altered evaluation plan:  </w:t>
            </w:r>
          </w:p>
          <w:p w:rsidR="00466C91" w:rsidRPr="00DE7258" w:rsidRDefault="008242EE" w:rsidP="00466C91">
            <w:pPr>
              <w:tabs>
                <w:tab w:val="left" w:pos="5940"/>
              </w:tabs>
              <w:ind w:left="288" w:hanging="288"/>
              <w:rPr>
                <w:rFonts w:cstheme="minorHAnsi"/>
                <w:i/>
              </w:rPr>
            </w:pPr>
            <w:r w:rsidRPr="00DE7258">
              <w:rPr>
                <w:rFonts w:cstheme="minorHAnsi"/>
                <w:i/>
              </w:rPr>
              <w:t>How has this implementation improved efficiency?</w:t>
            </w:r>
          </w:p>
          <w:p w:rsidR="008242EE" w:rsidRPr="00DE7258" w:rsidRDefault="008242EE" w:rsidP="00466C91">
            <w:pPr>
              <w:tabs>
                <w:tab w:val="left" w:pos="5940"/>
              </w:tabs>
              <w:ind w:left="288" w:hanging="288"/>
              <w:rPr>
                <w:rFonts w:cstheme="minorHAnsi"/>
              </w:rPr>
            </w:pPr>
          </w:p>
          <w:p w:rsidR="008242EE" w:rsidRPr="00DE7258" w:rsidRDefault="008242EE" w:rsidP="00466C91">
            <w:pPr>
              <w:tabs>
                <w:tab w:val="left" w:pos="5940"/>
              </w:tabs>
              <w:ind w:left="288" w:hanging="288"/>
              <w:rPr>
                <w:rFonts w:cstheme="minorHAnsi"/>
              </w:rPr>
            </w:pPr>
          </w:p>
        </w:tc>
        <w:tc>
          <w:tcPr>
            <w:tcW w:w="1523" w:type="dxa"/>
          </w:tcPr>
          <w:p w:rsidR="008242EE" w:rsidRPr="00DE7258" w:rsidRDefault="008242EE" w:rsidP="008242EE">
            <w:pPr>
              <w:tabs>
                <w:tab w:val="left" w:pos="5940"/>
              </w:tabs>
              <w:rPr>
                <w:rFonts w:cstheme="minorHAnsi"/>
                <w:i/>
              </w:rPr>
            </w:pPr>
            <w:r w:rsidRPr="00DE7258">
              <w:rPr>
                <w:rFonts w:cstheme="minorHAnsi"/>
                <w:i/>
              </w:rPr>
              <w:lastRenderedPageBreak/>
              <w:t>__In progress,</w:t>
            </w:r>
          </w:p>
          <w:p w:rsidR="008242EE" w:rsidRPr="00DE7258" w:rsidRDefault="008242EE" w:rsidP="008242EE">
            <w:pPr>
              <w:tabs>
                <w:tab w:val="left" w:pos="5940"/>
              </w:tabs>
              <w:rPr>
                <w:rFonts w:cstheme="minorHAnsi"/>
                <w:i/>
              </w:rPr>
            </w:pPr>
            <w:r w:rsidRPr="00DE7258">
              <w:rPr>
                <w:rFonts w:cstheme="minorHAnsi"/>
                <w:i/>
              </w:rPr>
              <w:t>__Completed</w:t>
            </w:r>
          </w:p>
          <w:p w:rsidR="00466C91" w:rsidRPr="00DE7258" w:rsidRDefault="008242EE" w:rsidP="008242EE">
            <w:pPr>
              <w:tabs>
                <w:tab w:val="left" w:pos="5940"/>
              </w:tabs>
              <w:rPr>
                <w:rFonts w:cstheme="minorHAnsi"/>
                <w:i/>
              </w:rPr>
            </w:pPr>
            <w:r w:rsidRPr="00DE7258">
              <w:rPr>
                <w:rFonts w:cstheme="minorHAnsi"/>
                <w:i/>
              </w:rPr>
              <w:t xml:space="preserve">__Change in </w:t>
            </w:r>
            <w:r w:rsidRPr="00DE7258">
              <w:rPr>
                <w:rFonts w:cstheme="minorHAnsi"/>
                <w:i/>
              </w:rPr>
              <w:lastRenderedPageBreak/>
              <w:t>direction</w:t>
            </w:r>
          </w:p>
        </w:tc>
      </w:tr>
      <w:tr w:rsidR="008242EE" w:rsidRPr="00DE7258" w:rsidTr="00A117FD">
        <w:trPr>
          <w:trHeight w:val="341"/>
        </w:trPr>
        <w:tc>
          <w:tcPr>
            <w:tcW w:w="2448" w:type="dxa"/>
          </w:tcPr>
          <w:p w:rsidR="008242EE" w:rsidRPr="00DE7258" w:rsidRDefault="008242EE" w:rsidP="0069153A">
            <w:pPr>
              <w:tabs>
                <w:tab w:val="left" w:pos="5940"/>
              </w:tabs>
              <w:rPr>
                <w:rFonts w:cstheme="minorHAnsi"/>
                <w:color w:val="FF0000"/>
              </w:rPr>
            </w:pPr>
            <w:r w:rsidRPr="00DE7258">
              <w:rPr>
                <w:rFonts w:cstheme="minorHAnsi"/>
                <w:color w:val="FF0000"/>
              </w:rPr>
              <w:lastRenderedPageBreak/>
              <w:t>VPA</w:t>
            </w:r>
          </w:p>
          <w:p w:rsidR="008242EE" w:rsidRPr="00DE7258" w:rsidRDefault="008242EE" w:rsidP="0069153A">
            <w:pPr>
              <w:tabs>
                <w:tab w:val="left" w:pos="5940"/>
              </w:tabs>
              <w:rPr>
                <w:rFonts w:cstheme="minorHAnsi"/>
                <w:color w:val="FF0000"/>
              </w:rPr>
            </w:pPr>
            <w:r w:rsidRPr="00DE7258">
              <w:rPr>
                <w:rFonts w:eastAsia="Times New Roman" w:cstheme="minorHAnsi"/>
                <w:bCs/>
                <w:color w:val="000000"/>
              </w:rPr>
              <w:t>Begin increasing the fund reserve to 17% over time, and to 11% the first year.</w:t>
            </w:r>
          </w:p>
        </w:tc>
        <w:tc>
          <w:tcPr>
            <w:tcW w:w="7117" w:type="dxa"/>
          </w:tcPr>
          <w:p w:rsidR="00F87F0B" w:rsidRPr="00DE7258" w:rsidRDefault="00AF685E" w:rsidP="00DE7258">
            <w:pPr>
              <w:tabs>
                <w:tab w:val="left" w:pos="5940"/>
              </w:tabs>
              <w:rPr>
                <w:rFonts w:cstheme="minorHAnsi"/>
              </w:rPr>
            </w:pPr>
            <w:r w:rsidRPr="00DE7258">
              <w:rPr>
                <w:rFonts w:cstheme="minorHAnsi"/>
              </w:rPr>
              <w:t>The 2021-22 Final Budget estimated unrestricted general fund reserve was 16.4%.  With budget adjustments to date, the current estimated unrestric</w:t>
            </w:r>
            <w:r w:rsidR="00EF71E8" w:rsidRPr="00DE7258">
              <w:rPr>
                <w:rFonts w:cstheme="minorHAnsi"/>
              </w:rPr>
              <w:t>ted general fund reserve is 17.3</w:t>
            </w:r>
            <w:r w:rsidRPr="00DE7258">
              <w:rPr>
                <w:rFonts w:cstheme="minorHAnsi"/>
              </w:rPr>
              <w:t>%.</w:t>
            </w:r>
          </w:p>
        </w:tc>
        <w:tc>
          <w:tcPr>
            <w:tcW w:w="1523" w:type="dxa"/>
          </w:tcPr>
          <w:p w:rsidR="008242EE" w:rsidRPr="00DE7258" w:rsidRDefault="008242EE" w:rsidP="008242EE">
            <w:pPr>
              <w:tabs>
                <w:tab w:val="left" w:pos="5940"/>
              </w:tabs>
              <w:rPr>
                <w:rFonts w:cstheme="minorHAnsi"/>
                <w:i/>
              </w:rPr>
            </w:pPr>
            <w:r w:rsidRPr="00DE7258">
              <w:rPr>
                <w:rFonts w:cstheme="minorHAnsi"/>
                <w:i/>
              </w:rPr>
              <w:t>__In progress,</w:t>
            </w:r>
          </w:p>
          <w:p w:rsidR="008242EE" w:rsidRPr="00DE7258" w:rsidRDefault="008242EE" w:rsidP="008242EE">
            <w:pPr>
              <w:tabs>
                <w:tab w:val="left" w:pos="5940"/>
              </w:tabs>
              <w:rPr>
                <w:rFonts w:cstheme="minorHAnsi"/>
                <w:i/>
              </w:rPr>
            </w:pPr>
            <w:r w:rsidRPr="00DE7258">
              <w:rPr>
                <w:rFonts w:cstheme="minorHAnsi"/>
                <w:i/>
              </w:rPr>
              <w:t>__Completed</w:t>
            </w:r>
          </w:p>
          <w:p w:rsidR="008242EE" w:rsidRPr="00DE7258" w:rsidRDefault="008242EE" w:rsidP="008242EE">
            <w:pPr>
              <w:tabs>
                <w:tab w:val="left" w:pos="5940"/>
              </w:tabs>
              <w:rPr>
                <w:rFonts w:cstheme="minorHAnsi"/>
                <w:i/>
              </w:rPr>
            </w:pPr>
            <w:r w:rsidRPr="00DE7258">
              <w:rPr>
                <w:rFonts w:cstheme="minorHAnsi"/>
                <w:i/>
              </w:rPr>
              <w:t>__Change in direction</w:t>
            </w:r>
          </w:p>
        </w:tc>
      </w:tr>
      <w:tr w:rsidR="008242EE" w:rsidRPr="00DE7258" w:rsidTr="00A117FD">
        <w:trPr>
          <w:trHeight w:val="341"/>
        </w:trPr>
        <w:tc>
          <w:tcPr>
            <w:tcW w:w="2448" w:type="dxa"/>
          </w:tcPr>
          <w:p w:rsidR="008242EE" w:rsidRPr="00DE7258" w:rsidRDefault="008242EE" w:rsidP="0069153A">
            <w:pPr>
              <w:tabs>
                <w:tab w:val="left" w:pos="5940"/>
              </w:tabs>
              <w:rPr>
                <w:rFonts w:cstheme="minorHAnsi"/>
                <w:color w:val="FF0000"/>
              </w:rPr>
            </w:pPr>
            <w:r w:rsidRPr="00DE7258">
              <w:rPr>
                <w:rFonts w:cstheme="minorHAnsi"/>
                <w:color w:val="FF0000"/>
              </w:rPr>
              <w:t>Institutional Effectiveness</w:t>
            </w:r>
          </w:p>
          <w:p w:rsidR="008242EE" w:rsidRPr="00DE7258" w:rsidRDefault="008242EE" w:rsidP="0069153A">
            <w:pPr>
              <w:tabs>
                <w:tab w:val="left" w:pos="5940"/>
              </w:tabs>
              <w:rPr>
                <w:rFonts w:cstheme="minorHAnsi"/>
                <w:color w:val="FF0000"/>
              </w:rPr>
            </w:pPr>
            <w:r w:rsidRPr="00DE7258">
              <w:rPr>
                <w:rFonts w:cstheme="minorHAnsi"/>
              </w:rPr>
              <w:t>Migrate available WebAdvisor components to Self-Service</w:t>
            </w:r>
          </w:p>
        </w:tc>
        <w:tc>
          <w:tcPr>
            <w:tcW w:w="7117" w:type="dxa"/>
          </w:tcPr>
          <w:p w:rsidR="008242EE" w:rsidRPr="00DE7258" w:rsidRDefault="008242EE" w:rsidP="008242EE">
            <w:pPr>
              <w:tabs>
                <w:tab w:val="left" w:pos="5940"/>
              </w:tabs>
              <w:ind w:left="288" w:hanging="288"/>
              <w:rPr>
                <w:rFonts w:cstheme="minorHAnsi"/>
              </w:rPr>
            </w:pPr>
            <w:r w:rsidRPr="00DE7258">
              <w:rPr>
                <w:rFonts w:cstheme="minorHAnsi"/>
              </w:rPr>
              <w:t>Please provide an update below. Can you discuss results of the evaluation plan, or an altered evaluation plan:</w:t>
            </w:r>
          </w:p>
          <w:p w:rsidR="008242EE" w:rsidRPr="00DE7258" w:rsidRDefault="008242EE" w:rsidP="008242EE">
            <w:pPr>
              <w:tabs>
                <w:tab w:val="left" w:pos="5940"/>
              </w:tabs>
              <w:ind w:left="288" w:hanging="288"/>
              <w:rPr>
                <w:rFonts w:cstheme="minorHAnsi"/>
                <w:i/>
              </w:rPr>
            </w:pPr>
            <w:r w:rsidRPr="00DE7258">
              <w:rPr>
                <w:rFonts w:cstheme="minorHAnsi"/>
                <w:i/>
              </w:rPr>
              <w:t>Which components have been migrated?  Have they been removed from WebAdvisor?</w:t>
            </w:r>
          </w:p>
          <w:p w:rsidR="008242EE" w:rsidRPr="00DE7258" w:rsidRDefault="008242EE" w:rsidP="008242EE">
            <w:pPr>
              <w:tabs>
                <w:tab w:val="left" w:pos="5940"/>
              </w:tabs>
              <w:ind w:left="288" w:hanging="288"/>
              <w:rPr>
                <w:rFonts w:cstheme="minorHAnsi"/>
              </w:rPr>
            </w:pPr>
          </w:p>
          <w:p w:rsidR="008242EE" w:rsidRPr="00DE7258" w:rsidRDefault="008242EE" w:rsidP="008242EE">
            <w:pPr>
              <w:tabs>
                <w:tab w:val="left" w:pos="5940"/>
              </w:tabs>
              <w:ind w:left="288" w:hanging="288"/>
              <w:rPr>
                <w:rFonts w:cstheme="minorHAnsi"/>
              </w:rPr>
            </w:pPr>
          </w:p>
          <w:p w:rsidR="008242EE" w:rsidRPr="00DE7258" w:rsidRDefault="008242EE" w:rsidP="008242EE">
            <w:pPr>
              <w:tabs>
                <w:tab w:val="left" w:pos="5940"/>
              </w:tabs>
              <w:ind w:left="288" w:hanging="288"/>
              <w:rPr>
                <w:rFonts w:cstheme="minorHAnsi"/>
              </w:rPr>
            </w:pPr>
          </w:p>
        </w:tc>
        <w:tc>
          <w:tcPr>
            <w:tcW w:w="1523" w:type="dxa"/>
          </w:tcPr>
          <w:p w:rsidR="008242EE" w:rsidRPr="00DE7258" w:rsidRDefault="008242EE" w:rsidP="008242EE">
            <w:pPr>
              <w:tabs>
                <w:tab w:val="left" w:pos="5940"/>
              </w:tabs>
              <w:rPr>
                <w:rFonts w:cstheme="minorHAnsi"/>
                <w:i/>
              </w:rPr>
            </w:pPr>
            <w:r w:rsidRPr="00DE7258">
              <w:rPr>
                <w:rFonts w:cstheme="minorHAnsi"/>
                <w:i/>
              </w:rPr>
              <w:t>__In progress,</w:t>
            </w:r>
          </w:p>
          <w:p w:rsidR="008242EE" w:rsidRPr="00DE7258" w:rsidRDefault="008242EE" w:rsidP="008242EE">
            <w:pPr>
              <w:tabs>
                <w:tab w:val="left" w:pos="5940"/>
              </w:tabs>
              <w:rPr>
                <w:rFonts w:cstheme="minorHAnsi"/>
                <w:i/>
              </w:rPr>
            </w:pPr>
            <w:r w:rsidRPr="00DE7258">
              <w:rPr>
                <w:rFonts w:cstheme="minorHAnsi"/>
                <w:i/>
              </w:rPr>
              <w:t>__Completed</w:t>
            </w:r>
          </w:p>
          <w:p w:rsidR="008242EE" w:rsidRPr="00DE7258" w:rsidRDefault="008242EE" w:rsidP="008242EE">
            <w:pPr>
              <w:tabs>
                <w:tab w:val="left" w:pos="5940"/>
              </w:tabs>
              <w:rPr>
                <w:rFonts w:cstheme="minorHAnsi"/>
                <w:i/>
              </w:rPr>
            </w:pPr>
            <w:r w:rsidRPr="00DE7258">
              <w:rPr>
                <w:rFonts w:cstheme="minorHAnsi"/>
                <w:i/>
              </w:rPr>
              <w:t>__Change in direction</w:t>
            </w:r>
          </w:p>
        </w:tc>
      </w:tr>
    </w:tbl>
    <w:p w:rsidR="00610EF7" w:rsidRPr="00DE7258" w:rsidRDefault="00610EF7" w:rsidP="00996A54">
      <w:pPr>
        <w:pStyle w:val="ListParagraph"/>
        <w:spacing w:after="0" w:line="240" w:lineRule="auto"/>
        <w:ind w:left="0"/>
        <w:rPr>
          <w:rFonts w:cstheme="minorHAnsi"/>
          <w:b/>
        </w:rPr>
      </w:pPr>
      <w:bookmarkStart w:id="0" w:name="_GoBack"/>
      <w:bookmarkEnd w:id="0"/>
    </w:p>
    <w:sectPr w:rsidR="00610EF7" w:rsidRPr="00DE7258" w:rsidSect="00460F50">
      <w:headerReference w:type="default" r:id="rId13"/>
      <w:footerReference w:type="default" r:id="rId14"/>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DCB" w:rsidRDefault="00554DCB" w:rsidP="008200F7">
      <w:pPr>
        <w:spacing w:after="0" w:line="240" w:lineRule="auto"/>
      </w:pPr>
      <w:r>
        <w:separator/>
      </w:r>
    </w:p>
  </w:endnote>
  <w:endnote w:type="continuationSeparator" w:id="0">
    <w:p w:rsidR="00554DCB" w:rsidRDefault="00554DCB" w:rsidP="008200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right"/>
      <w:tblLook w:val="04A0" w:firstRow="1" w:lastRow="0" w:firstColumn="1" w:lastColumn="0" w:noHBand="0" w:noVBand="1"/>
    </w:tblPr>
    <w:tblGrid>
      <w:gridCol w:w="4111"/>
      <w:gridCol w:w="816"/>
    </w:tblGrid>
    <w:tr w:rsidR="00BB0D8F">
      <w:trPr>
        <w:jc w:val="right"/>
      </w:trPr>
      <w:tc>
        <w:tcPr>
          <w:tcW w:w="0" w:type="auto"/>
        </w:tcPr>
        <w:p w:rsidR="00BB0D8F" w:rsidRDefault="00BB0D8F" w:rsidP="00050766">
          <w:pPr>
            <w:pStyle w:val="Footer"/>
            <w:jc w:val="right"/>
          </w:pPr>
          <w:r>
            <w:t xml:space="preserve"> COLLEGE OF THE REDWOODS |  </w:t>
          </w:r>
          <w:r w:rsidR="009C13B9">
            <w:t>2021-2022</w:t>
          </w:r>
        </w:p>
      </w:tc>
      <w:tc>
        <w:tcPr>
          <w:tcW w:w="0" w:type="auto"/>
        </w:tcPr>
        <w:p w:rsidR="00BB0D8F" w:rsidRDefault="00BB0D8F">
          <w:pPr>
            <w:pStyle w:val="Footer"/>
            <w:jc w:val="right"/>
          </w:pPr>
          <w:r>
            <w:rPr>
              <w:noProof/>
            </w:rPr>
            <mc:AlternateContent>
              <mc:Choice Requires="wpg">
                <w:drawing>
                  <wp:inline distT="0" distB="0" distL="0" distR="0" wp14:anchorId="27DFC970" wp14:editId="4F3FA37B">
                    <wp:extent cx="353156" cy="327756"/>
                    <wp:effectExtent l="0" t="0" r="27940" b="15240"/>
                    <wp:docPr id="450"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flipV="1">
                              <a:off x="0" y="0"/>
                              <a:ext cx="353156" cy="327756"/>
                              <a:chOff x="8754" y="11945"/>
                              <a:chExt cx="2880" cy="2859"/>
                            </a:xfrm>
                            <a:solidFill>
                              <a:schemeClr val="accent6">
                                <a:lumMod val="50000"/>
                              </a:schemeClr>
                            </a:solidFill>
                          </wpg:grpSpPr>
                          <wps:wsp>
                            <wps:cNvPr id="451" name="Rectangle 451"/>
                            <wps:cNvSpPr>
                              <a:spLocks noChangeArrowheads="1"/>
                            </wps:cNvSpPr>
                            <wps:spPr bwMode="auto">
                              <a:xfrm flipH="1">
                                <a:off x="10194" y="11945"/>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2" name="Rectangle 452"/>
                            <wps:cNvSpPr>
                              <a:spLocks noChangeArrowheads="1"/>
                            </wps:cNvSpPr>
                            <wps:spPr bwMode="auto">
                              <a:xfrm flipH="1">
                                <a:off x="1019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53" name="Rectangle 453"/>
                            <wps:cNvSpPr>
                              <a:spLocks noChangeArrowheads="1"/>
                            </wps:cNvSpPr>
                            <wps:spPr bwMode="auto">
                              <a:xfrm flipH="1">
                                <a:off x="8754" y="13364"/>
                                <a:ext cx="1440" cy="1440"/>
                              </a:xfrm>
                              <a:prstGeom prst="rect">
                                <a:avLst/>
                              </a:prstGeom>
                              <a:grpFill/>
                              <a:ln w="12700">
                                <a:solidFill>
                                  <a:srgbClr val="FFFFFF"/>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wgp>
                      </a:graphicData>
                    </a:graphic>
                  </wp:inline>
                </w:drawing>
              </mc:Choice>
              <mc:Fallback>
                <w:pict>
                  <v:group w14:anchorId="1BA74506" id="Group 450" o:spid="_x0000_s1026" style="width:27.8pt;height:25.8pt;flip:x y;mso-position-horizontal-relative:char;mso-position-vertical-relative:line" coordorigin="8754,11945" coordsize="2880,2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">
                    <v:rect id="Rectangle 451" o:spid="_x0000_s1027" style="position:absolute;left:10194;top:11945;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" filled="f" strokecolor="white" strokeweight="1pt">
                      <v:shadow color="#d8d8d8" offset="3pt,3pt"/>
                    </v:rect>
                    <v:rect id="Rectangle 452" o:spid="_x0000_s1028" style="position:absolute;left:1019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" filled="f" strokecolor="white" strokeweight="1pt">
                      <v:shadow color="#d8d8d8" offset="3pt,3pt"/>
                    </v:rect>
                    <v:rect id="Rectangle 453" o:spid="_x0000_s1029" style="position:absolute;left:8754;top:13364;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" filled="f" strokecolor="white" strokeweight="1pt">
                      <v:shadow color="#d8d8d8" offset="3pt,3pt"/>
                    </v:rect>
                    <w10:anchorlock/>
                  </v:group>
                </w:pict>
              </mc:Fallback>
            </mc:AlternateContent>
          </w:r>
        </w:p>
      </w:tc>
    </w:tr>
  </w:tbl>
  <w:p w:rsidR="00BB0D8F" w:rsidRDefault="00050766" w:rsidP="00460F50">
    <w:pPr>
      <w:pStyle w:val="Footer"/>
    </w:pP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DCB" w:rsidRDefault="00554DCB" w:rsidP="008200F7">
      <w:pPr>
        <w:spacing w:after="0" w:line="240" w:lineRule="auto"/>
      </w:pPr>
      <w:r>
        <w:separator/>
      </w:r>
    </w:p>
  </w:footnote>
  <w:footnote w:type="continuationSeparator" w:id="0">
    <w:p w:rsidR="00554DCB" w:rsidRDefault="00554DCB" w:rsidP="008200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0399534"/>
      <w:docPartObj>
        <w:docPartGallery w:val="Page Numbers (Top of Page)"/>
        <w:docPartUnique/>
      </w:docPartObj>
    </w:sdtPr>
    <w:sdtEndPr/>
    <w:sdtContent>
      <w:p w:rsidR="00BB0D8F" w:rsidRDefault="00BB0D8F">
        <w:pPr>
          <w:pStyle w:val="Header"/>
          <w:ind w:right="-864"/>
          <w:jc w:val="right"/>
        </w:pPr>
        <w:r>
          <w:rPr>
            <w:noProof/>
          </w:rPr>
          <mc:AlternateContent>
            <mc:Choice Requires="wpg">
              <w:drawing>
                <wp:inline distT="0" distB="0" distL="0" distR="0" wp14:anchorId="482A5201" wp14:editId="1A98BC7E">
                  <wp:extent cx="548640" cy="237490"/>
                  <wp:effectExtent l="9525" t="9525" r="13335" b="10160"/>
                  <wp:docPr id="67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75" name="AutoShape 42"/>
                          <wps:cNvSpPr>
                            <a:spLocks noChangeArrowheads="1"/>
                          </wps:cNvSpPr>
                          <wps:spPr bwMode="auto">
                            <a:xfrm rot="-5400000">
                              <a:off x="859" y="415"/>
                              <a:ext cx="374" cy="864"/>
                            </a:xfrm>
                            <a:prstGeom prst="roundRect">
                              <a:avLst>
                                <a:gd name="adj" fmla="val 16667"/>
                              </a:avLst>
                            </a:prstGeom>
                            <a:solidFill>
                              <a:srgbClr val="FFFFFF"/>
                            </a:solidFill>
                            <a:ln w="9525">
                              <a:solidFill>
                                <a:srgbClr val="E4BE84"/>
                              </a:solidFill>
                              <a:round/>
                              <a:headEnd/>
                              <a:tailEnd/>
                            </a:ln>
                          </wps:spPr>
                          <wps:bodyPr rot="0" vert="horz" wrap="square" lIns="91440" tIns="45720" rIns="91440" bIns="45720" anchor="t" anchorCtr="0" upright="1">
                            <a:noAutofit/>
                          </wps:bodyPr>
                        </wps:wsp>
                        <wps:wsp>
                          <wps:cNvPr id="676" name="AutoShape 43"/>
                          <wps:cNvSpPr>
                            <a:spLocks noChangeArrowheads="1"/>
                          </wps:cNvSpPr>
                          <wps:spPr bwMode="auto">
                            <a:xfrm rot="-5400000">
                              <a:off x="898" y="451"/>
                              <a:ext cx="296" cy="792"/>
                            </a:xfrm>
                            <a:prstGeom prst="roundRect">
                              <a:avLst>
                                <a:gd name="adj" fmla="val 16667"/>
                              </a:avLst>
                            </a:prstGeom>
                            <a:solidFill>
                              <a:srgbClr val="E4BE84"/>
                            </a:solidFill>
                            <a:ln w="9525">
                              <a:solidFill>
                                <a:srgbClr val="E4BE84"/>
                              </a:solidFill>
                              <a:round/>
                              <a:headEnd/>
                              <a:tailEnd/>
                            </a:ln>
                          </wps:spPr>
                          <wps:bodyPr rot="0" vert="horz" wrap="square" lIns="91440" tIns="45720" rIns="91440" bIns="45720" anchor="t" anchorCtr="0" upright="1">
                            <a:noAutofit/>
                          </wps:bodyPr>
                        </wps:wsp>
                        <wps:wsp>
                          <wps:cNvPr id="677" name="Text Box 44"/>
                          <wps:cNvSpPr txBox="1">
                            <a:spLocks noChangeArrowheads="1"/>
                          </wps:cNvSpPr>
                          <wps:spPr bwMode="auto">
                            <a:xfrm>
                              <a:off x="732" y="716"/>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0D8F" w:rsidRDefault="00BB0D8F">
                                <w:r>
                                  <w:fldChar w:fldCharType="begin"/>
                                </w:r>
                                <w:r>
                                  <w:instrText xml:space="preserve"> PAGE    \* MERGEFORMAT </w:instrText>
                                </w:r>
                                <w:r>
                                  <w:fldChar w:fldCharType="separate"/>
                                </w:r>
                                <w:r w:rsidR="00DE7258" w:rsidRPr="00DE7258">
                                  <w:rPr>
                                    <w:b/>
                                    <w:bCs/>
                                    <w:noProof/>
                                    <w:color w:val="FFFFFF" w:themeColor="background1"/>
                                  </w:rPr>
                                  <w:t>7</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w14:anchorId="482A5201" id="Group 41" o:spid="_x0000_s1026"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">
                  <v:roundrect id="AutoShape 42" o:spid="_x0000_s1027" style="position:absolute;left:859;top:415;width:374;height:864;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" strokecolor="#e4be84"/>
                  <v:roundrect id="AutoShape 43" o:spid="_x0000_s1028" style="position:absolute;left:898;top:451;width:296;height:792;rotation:-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" fillcolor="#e4be84" strokecolor="#e4be84"/>
                  <v:shapetype id="_x0000_t202" coordsize="21600,21600" o:spt="202" path="m,l,21600r21600,l21600,xe">
                    <v:stroke joinstyle="miter"/>
                    <v:path gradientshapeok="t" o:connecttype="rect"/>
                  </v:shapetype>
                  <v:shape id="Text Box 44" o:spid="_x0000_s1029" type="#_x0000_t202" style="position:absolute;left:732;top:716;width:659;height: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" filled="f" stroked="f">
                    <v:textbox inset="0,0,0,0">
                      <w:txbxContent>
                        <w:p w:rsidR="00BB0D8F" w:rsidRDefault="00BB0D8F">
                          <w:r>
                            <w:fldChar w:fldCharType="begin"/>
                          </w:r>
                          <w:r>
                            <w:instrText xml:space="preserve"> PAGE    \* MERGEFORMAT </w:instrText>
                          </w:r>
                          <w:r>
                            <w:fldChar w:fldCharType="separate"/>
                          </w:r>
                          <w:r w:rsidR="00DE7258" w:rsidRPr="00DE7258">
                            <w:rPr>
                              <w:b/>
                              <w:bCs/>
                              <w:noProof/>
                              <w:color w:val="FFFFFF" w:themeColor="background1"/>
                            </w:rPr>
                            <w:t>7</w:t>
                          </w:r>
                          <w:r>
                            <w:rPr>
                              <w:b/>
                              <w:bCs/>
                              <w:noProof/>
                              <w:color w:val="FFFFFF" w:themeColor="background1"/>
                            </w:rPr>
                            <w:fldChar w:fldCharType="end"/>
                          </w:r>
                        </w:p>
                      </w:txbxContent>
                    </v:textbox>
                  </v:shape>
                  <w10:anchorlock/>
                </v:group>
              </w:pict>
            </mc:Fallback>
          </mc:AlternateContent>
        </w:r>
      </w:p>
    </w:sdtContent>
  </w:sdt>
  <w:p w:rsidR="00BB0D8F" w:rsidRDefault="00BB0D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3C49"/>
    <w:multiLevelType w:val="hybridMultilevel"/>
    <w:tmpl w:val="E9482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8384842"/>
    <w:multiLevelType w:val="hybridMultilevel"/>
    <w:tmpl w:val="A6AE0A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 w15:restartNumberingAfterBreak="0">
    <w:nsid w:val="19DD5657"/>
    <w:multiLevelType w:val="hybridMultilevel"/>
    <w:tmpl w:val="1A80F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F36048A"/>
    <w:multiLevelType w:val="multilevel"/>
    <w:tmpl w:val="8D348C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12366D9"/>
    <w:multiLevelType w:val="hybridMultilevel"/>
    <w:tmpl w:val="2CC012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14872D4"/>
    <w:multiLevelType w:val="hybridMultilevel"/>
    <w:tmpl w:val="EDD22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65770F6"/>
    <w:multiLevelType w:val="hybridMultilevel"/>
    <w:tmpl w:val="954E40E8"/>
    <w:lvl w:ilvl="0" w:tplc="235AABC6">
      <w:numFmt w:val="bullet"/>
      <w:lvlText w:val=""/>
      <w:lvlJc w:val="left"/>
      <w:pPr>
        <w:tabs>
          <w:tab w:val="num" w:pos="720"/>
        </w:tabs>
        <w:ind w:left="720" w:hanging="360"/>
      </w:pPr>
      <w:rPr>
        <w:rFonts w:ascii="Symbol" w:eastAsia="Times New Roman" w:hAnsi="Symbol" w:cs="Comic Sans M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6E0EA3"/>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9B6C47"/>
    <w:multiLevelType w:val="hybridMultilevel"/>
    <w:tmpl w:val="0B74CD2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F844E5"/>
    <w:multiLevelType w:val="hybridMultilevel"/>
    <w:tmpl w:val="95DCAF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 w15:restartNumberingAfterBreak="0">
    <w:nsid w:val="5EBC09D3"/>
    <w:multiLevelType w:val="hybridMultilevel"/>
    <w:tmpl w:val="48B480C6"/>
    <w:lvl w:ilvl="0" w:tplc="235AABC6">
      <w:numFmt w:val="bullet"/>
      <w:lvlText w:val=""/>
      <w:lvlJc w:val="left"/>
      <w:pPr>
        <w:tabs>
          <w:tab w:val="num" w:pos="720"/>
        </w:tabs>
        <w:ind w:left="720" w:hanging="360"/>
      </w:pPr>
      <w:rPr>
        <w:rFonts w:ascii="Symbol" w:eastAsia="Times New Roman" w:hAnsi="Symbol" w:cs="Comic Sans M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F0C7C"/>
    <w:multiLevelType w:val="hybridMultilevel"/>
    <w:tmpl w:val="3F9EE4B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15:restartNumberingAfterBreak="0">
    <w:nsid w:val="69344560"/>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9F0A61"/>
    <w:multiLevelType w:val="hybridMultilevel"/>
    <w:tmpl w:val="0FEAC0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DF283A"/>
    <w:multiLevelType w:val="hybridMultilevel"/>
    <w:tmpl w:val="73BC5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553932"/>
    <w:multiLevelType w:val="hybridMultilevel"/>
    <w:tmpl w:val="EB10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7415D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470AF6"/>
    <w:multiLevelType w:val="hybridMultilevel"/>
    <w:tmpl w:val="EA24F1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0"/>
  </w:num>
  <w:num w:numId="4">
    <w:abstractNumId w:val="4"/>
  </w:num>
  <w:num w:numId="5">
    <w:abstractNumId w:val="11"/>
  </w:num>
  <w:num w:numId="6">
    <w:abstractNumId w:val="5"/>
  </w:num>
  <w:num w:numId="7">
    <w:abstractNumId w:val="1"/>
  </w:num>
  <w:num w:numId="8">
    <w:abstractNumId w:val="9"/>
  </w:num>
  <w:num w:numId="9">
    <w:abstractNumId w:val="15"/>
  </w:num>
  <w:num w:numId="10">
    <w:abstractNumId w:val="1"/>
  </w:num>
  <w:num w:numId="11">
    <w:abstractNumId w:val="6"/>
  </w:num>
  <w:num w:numId="12">
    <w:abstractNumId w:val="2"/>
  </w:num>
  <w:num w:numId="13">
    <w:abstractNumId w:val="14"/>
  </w:num>
  <w:num w:numId="14">
    <w:abstractNumId w:val="17"/>
  </w:num>
  <w:num w:numId="15">
    <w:abstractNumId w:val="12"/>
  </w:num>
  <w:num w:numId="16">
    <w:abstractNumId w:val="16"/>
  </w:num>
  <w:num w:numId="17">
    <w:abstractNumId w:val="7"/>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6C3"/>
    <w:rsid w:val="00001B5F"/>
    <w:rsid w:val="000032D8"/>
    <w:rsid w:val="00005094"/>
    <w:rsid w:val="000116D5"/>
    <w:rsid w:val="00022FFC"/>
    <w:rsid w:val="0003515A"/>
    <w:rsid w:val="00040873"/>
    <w:rsid w:val="000457B2"/>
    <w:rsid w:val="00050766"/>
    <w:rsid w:val="00050B13"/>
    <w:rsid w:val="00052547"/>
    <w:rsid w:val="000533FE"/>
    <w:rsid w:val="00061299"/>
    <w:rsid w:val="00067B93"/>
    <w:rsid w:val="000704F9"/>
    <w:rsid w:val="00074C20"/>
    <w:rsid w:val="000806E9"/>
    <w:rsid w:val="00081194"/>
    <w:rsid w:val="0008369E"/>
    <w:rsid w:val="00085422"/>
    <w:rsid w:val="00087AF2"/>
    <w:rsid w:val="00092B64"/>
    <w:rsid w:val="000A2ACE"/>
    <w:rsid w:val="000C689E"/>
    <w:rsid w:val="000D02D2"/>
    <w:rsid w:val="000D416D"/>
    <w:rsid w:val="000D6A93"/>
    <w:rsid w:val="000D6C4C"/>
    <w:rsid w:val="000E2C6B"/>
    <w:rsid w:val="000E5FC2"/>
    <w:rsid w:val="000E7CB2"/>
    <w:rsid w:val="000F191D"/>
    <w:rsid w:val="000F3627"/>
    <w:rsid w:val="000F5253"/>
    <w:rsid w:val="000F550C"/>
    <w:rsid w:val="000F7A73"/>
    <w:rsid w:val="00102C43"/>
    <w:rsid w:val="00102D3D"/>
    <w:rsid w:val="00112EF7"/>
    <w:rsid w:val="001214E8"/>
    <w:rsid w:val="0012651C"/>
    <w:rsid w:val="00136C51"/>
    <w:rsid w:val="0014137D"/>
    <w:rsid w:val="00152DEC"/>
    <w:rsid w:val="00156EF1"/>
    <w:rsid w:val="00157240"/>
    <w:rsid w:val="001602F0"/>
    <w:rsid w:val="00165875"/>
    <w:rsid w:val="00173F71"/>
    <w:rsid w:val="001937E6"/>
    <w:rsid w:val="001967F9"/>
    <w:rsid w:val="001A28FC"/>
    <w:rsid w:val="001A4ED0"/>
    <w:rsid w:val="001B3AD2"/>
    <w:rsid w:val="001C3194"/>
    <w:rsid w:val="001D333F"/>
    <w:rsid w:val="001D64C7"/>
    <w:rsid w:val="001F5ABC"/>
    <w:rsid w:val="002101D9"/>
    <w:rsid w:val="00234B96"/>
    <w:rsid w:val="00235A6B"/>
    <w:rsid w:val="00242A18"/>
    <w:rsid w:val="0024400C"/>
    <w:rsid w:val="00247DF9"/>
    <w:rsid w:val="0025535E"/>
    <w:rsid w:val="00255980"/>
    <w:rsid w:val="00264897"/>
    <w:rsid w:val="00270090"/>
    <w:rsid w:val="002752C2"/>
    <w:rsid w:val="00281757"/>
    <w:rsid w:val="00292A64"/>
    <w:rsid w:val="002C28BE"/>
    <w:rsid w:val="002C310E"/>
    <w:rsid w:val="002C4EC1"/>
    <w:rsid w:val="002C7CE7"/>
    <w:rsid w:val="002E2419"/>
    <w:rsid w:val="002F290F"/>
    <w:rsid w:val="003067D2"/>
    <w:rsid w:val="00307CD8"/>
    <w:rsid w:val="00312DBD"/>
    <w:rsid w:val="003144EC"/>
    <w:rsid w:val="00322CAE"/>
    <w:rsid w:val="003332F8"/>
    <w:rsid w:val="003367B3"/>
    <w:rsid w:val="00336D2D"/>
    <w:rsid w:val="003421C4"/>
    <w:rsid w:val="003537A5"/>
    <w:rsid w:val="00372927"/>
    <w:rsid w:val="003904B0"/>
    <w:rsid w:val="00390BFF"/>
    <w:rsid w:val="00396F9F"/>
    <w:rsid w:val="003A208E"/>
    <w:rsid w:val="003C796C"/>
    <w:rsid w:val="003D0325"/>
    <w:rsid w:val="003D3B89"/>
    <w:rsid w:val="003D4D4C"/>
    <w:rsid w:val="003F3B57"/>
    <w:rsid w:val="003F76B0"/>
    <w:rsid w:val="0040765F"/>
    <w:rsid w:val="00407805"/>
    <w:rsid w:val="004114FF"/>
    <w:rsid w:val="0044320D"/>
    <w:rsid w:val="0045155B"/>
    <w:rsid w:val="00455C17"/>
    <w:rsid w:val="00460F50"/>
    <w:rsid w:val="00463B0E"/>
    <w:rsid w:val="00466C91"/>
    <w:rsid w:val="004A7AA2"/>
    <w:rsid w:val="004B1277"/>
    <w:rsid w:val="004B549B"/>
    <w:rsid w:val="004C5AA7"/>
    <w:rsid w:val="004C7843"/>
    <w:rsid w:val="004E0E5A"/>
    <w:rsid w:val="004F07B9"/>
    <w:rsid w:val="004F398A"/>
    <w:rsid w:val="005057EA"/>
    <w:rsid w:val="005112EC"/>
    <w:rsid w:val="005160D4"/>
    <w:rsid w:val="005167CA"/>
    <w:rsid w:val="0052025B"/>
    <w:rsid w:val="00525D81"/>
    <w:rsid w:val="005357F3"/>
    <w:rsid w:val="005372E0"/>
    <w:rsid w:val="005431C4"/>
    <w:rsid w:val="0054536E"/>
    <w:rsid w:val="00551E12"/>
    <w:rsid w:val="00552D6B"/>
    <w:rsid w:val="00554DCB"/>
    <w:rsid w:val="00555E63"/>
    <w:rsid w:val="005605B9"/>
    <w:rsid w:val="00565167"/>
    <w:rsid w:val="00565810"/>
    <w:rsid w:val="00565B33"/>
    <w:rsid w:val="0057154F"/>
    <w:rsid w:val="00577DC6"/>
    <w:rsid w:val="005845BB"/>
    <w:rsid w:val="005925C0"/>
    <w:rsid w:val="005A017F"/>
    <w:rsid w:val="005A15C3"/>
    <w:rsid w:val="005A2FEE"/>
    <w:rsid w:val="005B3301"/>
    <w:rsid w:val="005C3A76"/>
    <w:rsid w:val="005D416E"/>
    <w:rsid w:val="005D6EB7"/>
    <w:rsid w:val="005E0229"/>
    <w:rsid w:val="005E1868"/>
    <w:rsid w:val="005F2885"/>
    <w:rsid w:val="005F3C9D"/>
    <w:rsid w:val="005F4F12"/>
    <w:rsid w:val="00600843"/>
    <w:rsid w:val="0060369D"/>
    <w:rsid w:val="00604C75"/>
    <w:rsid w:val="0061045D"/>
    <w:rsid w:val="00610EF7"/>
    <w:rsid w:val="00612F1B"/>
    <w:rsid w:val="00624150"/>
    <w:rsid w:val="00626896"/>
    <w:rsid w:val="006330A6"/>
    <w:rsid w:val="006347C2"/>
    <w:rsid w:val="00645B79"/>
    <w:rsid w:val="0065482C"/>
    <w:rsid w:val="00655A13"/>
    <w:rsid w:val="00663382"/>
    <w:rsid w:val="00665155"/>
    <w:rsid w:val="00670A95"/>
    <w:rsid w:val="00677734"/>
    <w:rsid w:val="0068477E"/>
    <w:rsid w:val="0068617E"/>
    <w:rsid w:val="00697112"/>
    <w:rsid w:val="0069778D"/>
    <w:rsid w:val="006A21D8"/>
    <w:rsid w:val="006A6207"/>
    <w:rsid w:val="006B2818"/>
    <w:rsid w:val="006B4706"/>
    <w:rsid w:val="006C536C"/>
    <w:rsid w:val="006E18CA"/>
    <w:rsid w:val="006F0DF8"/>
    <w:rsid w:val="006F540B"/>
    <w:rsid w:val="00706EFE"/>
    <w:rsid w:val="007119D1"/>
    <w:rsid w:val="00713733"/>
    <w:rsid w:val="007219B7"/>
    <w:rsid w:val="007341C6"/>
    <w:rsid w:val="00752C36"/>
    <w:rsid w:val="007678B1"/>
    <w:rsid w:val="00770686"/>
    <w:rsid w:val="007736D6"/>
    <w:rsid w:val="007819AE"/>
    <w:rsid w:val="00784D4F"/>
    <w:rsid w:val="00784EB1"/>
    <w:rsid w:val="007853ED"/>
    <w:rsid w:val="00786D32"/>
    <w:rsid w:val="00794BDD"/>
    <w:rsid w:val="00796AF1"/>
    <w:rsid w:val="007A0268"/>
    <w:rsid w:val="007A1892"/>
    <w:rsid w:val="007A5885"/>
    <w:rsid w:val="007B1BDB"/>
    <w:rsid w:val="007B628F"/>
    <w:rsid w:val="007B7FC9"/>
    <w:rsid w:val="007C651C"/>
    <w:rsid w:val="007D11CC"/>
    <w:rsid w:val="007D65A2"/>
    <w:rsid w:val="007E4A32"/>
    <w:rsid w:val="007F416A"/>
    <w:rsid w:val="007F4C52"/>
    <w:rsid w:val="00805245"/>
    <w:rsid w:val="008200F7"/>
    <w:rsid w:val="008242EE"/>
    <w:rsid w:val="008248C8"/>
    <w:rsid w:val="00825C62"/>
    <w:rsid w:val="00830438"/>
    <w:rsid w:val="0083096C"/>
    <w:rsid w:val="00833292"/>
    <w:rsid w:val="008511F5"/>
    <w:rsid w:val="0085503A"/>
    <w:rsid w:val="008557C8"/>
    <w:rsid w:val="0086180A"/>
    <w:rsid w:val="00867449"/>
    <w:rsid w:val="00872F3F"/>
    <w:rsid w:val="00876E8A"/>
    <w:rsid w:val="00882151"/>
    <w:rsid w:val="008A361B"/>
    <w:rsid w:val="008A5E44"/>
    <w:rsid w:val="008B1F07"/>
    <w:rsid w:val="008B6CC4"/>
    <w:rsid w:val="008C4C43"/>
    <w:rsid w:val="008C50DA"/>
    <w:rsid w:val="008E19AF"/>
    <w:rsid w:val="008E5456"/>
    <w:rsid w:val="008E6F4C"/>
    <w:rsid w:val="008F3DF1"/>
    <w:rsid w:val="00922661"/>
    <w:rsid w:val="009321C6"/>
    <w:rsid w:val="00934C28"/>
    <w:rsid w:val="009359B4"/>
    <w:rsid w:val="0094060E"/>
    <w:rsid w:val="009432D6"/>
    <w:rsid w:val="009444FB"/>
    <w:rsid w:val="00947E3C"/>
    <w:rsid w:val="009527EF"/>
    <w:rsid w:val="00976B28"/>
    <w:rsid w:val="009836C3"/>
    <w:rsid w:val="0099364A"/>
    <w:rsid w:val="00996A54"/>
    <w:rsid w:val="009975AF"/>
    <w:rsid w:val="009A03C9"/>
    <w:rsid w:val="009A51E7"/>
    <w:rsid w:val="009C13B9"/>
    <w:rsid w:val="009C1D67"/>
    <w:rsid w:val="009C215C"/>
    <w:rsid w:val="009C2D4A"/>
    <w:rsid w:val="009D25CF"/>
    <w:rsid w:val="009D52DC"/>
    <w:rsid w:val="009E5841"/>
    <w:rsid w:val="009E673E"/>
    <w:rsid w:val="00A00D01"/>
    <w:rsid w:val="00A109B3"/>
    <w:rsid w:val="00A117FD"/>
    <w:rsid w:val="00A13F43"/>
    <w:rsid w:val="00A14E49"/>
    <w:rsid w:val="00A16A96"/>
    <w:rsid w:val="00A25C65"/>
    <w:rsid w:val="00A27891"/>
    <w:rsid w:val="00A36486"/>
    <w:rsid w:val="00A4753E"/>
    <w:rsid w:val="00A536A3"/>
    <w:rsid w:val="00A61744"/>
    <w:rsid w:val="00A62F3D"/>
    <w:rsid w:val="00A634AD"/>
    <w:rsid w:val="00A65529"/>
    <w:rsid w:val="00A7066B"/>
    <w:rsid w:val="00A70926"/>
    <w:rsid w:val="00A70FCC"/>
    <w:rsid w:val="00A74EB9"/>
    <w:rsid w:val="00A8578F"/>
    <w:rsid w:val="00A93921"/>
    <w:rsid w:val="00AB760A"/>
    <w:rsid w:val="00AC421C"/>
    <w:rsid w:val="00AC4F4D"/>
    <w:rsid w:val="00AD0D35"/>
    <w:rsid w:val="00AF1010"/>
    <w:rsid w:val="00AF685E"/>
    <w:rsid w:val="00B0492E"/>
    <w:rsid w:val="00B10DBC"/>
    <w:rsid w:val="00B20E51"/>
    <w:rsid w:val="00B25AD3"/>
    <w:rsid w:val="00B25B30"/>
    <w:rsid w:val="00B366D2"/>
    <w:rsid w:val="00B51834"/>
    <w:rsid w:val="00B52B9C"/>
    <w:rsid w:val="00B54B97"/>
    <w:rsid w:val="00B54F44"/>
    <w:rsid w:val="00B63A67"/>
    <w:rsid w:val="00B67099"/>
    <w:rsid w:val="00B67DED"/>
    <w:rsid w:val="00B72AE6"/>
    <w:rsid w:val="00B75DCA"/>
    <w:rsid w:val="00B80935"/>
    <w:rsid w:val="00B81F36"/>
    <w:rsid w:val="00B96803"/>
    <w:rsid w:val="00BA7AFF"/>
    <w:rsid w:val="00BB0D8F"/>
    <w:rsid w:val="00BB6CBE"/>
    <w:rsid w:val="00BD23AE"/>
    <w:rsid w:val="00BE3F56"/>
    <w:rsid w:val="00BE6412"/>
    <w:rsid w:val="00BF3B4E"/>
    <w:rsid w:val="00BF3BE7"/>
    <w:rsid w:val="00BF77FD"/>
    <w:rsid w:val="00C2774B"/>
    <w:rsid w:val="00C342D8"/>
    <w:rsid w:val="00C35F8B"/>
    <w:rsid w:val="00C51CD2"/>
    <w:rsid w:val="00C538AF"/>
    <w:rsid w:val="00C545A2"/>
    <w:rsid w:val="00C6256F"/>
    <w:rsid w:val="00C67F7C"/>
    <w:rsid w:val="00C77FE8"/>
    <w:rsid w:val="00C822C3"/>
    <w:rsid w:val="00C82330"/>
    <w:rsid w:val="00C855C7"/>
    <w:rsid w:val="00C93F3B"/>
    <w:rsid w:val="00C94C8B"/>
    <w:rsid w:val="00CA7228"/>
    <w:rsid w:val="00CB2068"/>
    <w:rsid w:val="00CB2614"/>
    <w:rsid w:val="00CB312A"/>
    <w:rsid w:val="00CB43C4"/>
    <w:rsid w:val="00CB4627"/>
    <w:rsid w:val="00CB5BBD"/>
    <w:rsid w:val="00CC0AD7"/>
    <w:rsid w:val="00CC7E65"/>
    <w:rsid w:val="00CD0C89"/>
    <w:rsid w:val="00CD50AB"/>
    <w:rsid w:val="00CD7210"/>
    <w:rsid w:val="00CD79F7"/>
    <w:rsid w:val="00CE0182"/>
    <w:rsid w:val="00CE1B95"/>
    <w:rsid w:val="00CE4F24"/>
    <w:rsid w:val="00CE651E"/>
    <w:rsid w:val="00CF365B"/>
    <w:rsid w:val="00D04BC7"/>
    <w:rsid w:val="00D1627C"/>
    <w:rsid w:val="00D22AFD"/>
    <w:rsid w:val="00D2700C"/>
    <w:rsid w:val="00D31611"/>
    <w:rsid w:val="00D31E0E"/>
    <w:rsid w:val="00D37B2F"/>
    <w:rsid w:val="00D42BA8"/>
    <w:rsid w:val="00D50486"/>
    <w:rsid w:val="00D52981"/>
    <w:rsid w:val="00D64890"/>
    <w:rsid w:val="00D65161"/>
    <w:rsid w:val="00D804C0"/>
    <w:rsid w:val="00D909E1"/>
    <w:rsid w:val="00D934D3"/>
    <w:rsid w:val="00DC5C23"/>
    <w:rsid w:val="00DC6AE5"/>
    <w:rsid w:val="00DD2718"/>
    <w:rsid w:val="00DD6AB5"/>
    <w:rsid w:val="00DE2F99"/>
    <w:rsid w:val="00DE7258"/>
    <w:rsid w:val="00E07496"/>
    <w:rsid w:val="00E0771D"/>
    <w:rsid w:val="00E13BAF"/>
    <w:rsid w:val="00E22A11"/>
    <w:rsid w:val="00E325A6"/>
    <w:rsid w:val="00E32676"/>
    <w:rsid w:val="00E36DB3"/>
    <w:rsid w:val="00E50BA2"/>
    <w:rsid w:val="00E625BE"/>
    <w:rsid w:val="00E708D6"/>
    <w:rsid w:val="00E76843"/>
    <w:rsid w:val="00E847D6"/>
    <w:rsid w:val="00E84C64"/>
    <w:rsid w:val="00E8625E"/>
    <w:rsid w:val="00E96FDC"/>
    <w:rsid w:val="00E977B6"/>
    <w:rsid w:val="00E97C97"/>
    <w:rsid w:val="00EA2082"/>
    <w:rsid w:val="00EA5927"/>
    <w:rsid w:val="00EA6A2D"/>
    <w:rsid w:val="00EA7290"/>
    <w:rsid w:val="00EB0ED1"/>
    <w:rsid w:val="00EC615D"/>
    <w:rsid w:val="00ED6054"/>
    <w:rsid w:val="00EE1D19"/>
    <w:rsid w:val="00EF71E8"/>
    <w:rsid w:val="00EF76E7"/>
    <w:rsid w:val="00EF793E"/>
    <w:rsid w:val="00F005EA"/>
    <w:rsid w:val="00F01722"/>
    <w:rsid w:val="00F02934"/>
    <w:rsid w:val="00F15D3F"/>
    <w:rsid w:val="00F30E2F"/>
    <w:rsid w:val="00F33CEF"/>
    <w:rsid w:val="00F42E81"/>
    <w:rsid w:val="00F446FE"/>
    <w:rsid w:val="00F44DB7"/>
    <w:rsid w:val="00F526A4"/>
    <w:rsid w:val="00F5548D"/>
    <w:rsid w:val="00F57251"/>
    <w:rsid w:val="00F7190E"/>
    <w:rsid w:val="00F74752"/>
    <w:rsid w:val="00F74D44"/>
    <w:rsid w:val="00F760AF"/>
    <w:rsid w:val="00F81477"/>
    <w:rsid w:val="00F822E0"/>
    <w:rsid w:val="00F87F0B"/>
    <w:rsid w:val="00F87FEE"/>
    <w:rsid w:val="00F9337F"/>
    <w:rsid w:val="00F97D88"/>
    <w:rsid w:val="00FA71F5"/>
    <w:rsid w:val="00FB56A3"/>
    <w:rsid w:val="00FB5B13"/>
    <w:rsid w:val="00FB61BD"/>
    <w:rsid w:val="00FC3B52"/>
    <w:rsid w:val="00FC7278"/>
    <w:rsid w:val="00FD591A"/>
    <w:rsid w:val="00FE2309"/>
    <w:rsid w:val="00FE3650"/>
    <w:rsid w:val="00FF1AE2"/>
    <w:rsid w:val="00FF1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C47AA2E"/>
  <w15:docId w15:val="{B87FF69A-2E82-4131-B963-0C37BFC2A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6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FC3B52"/>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FC3B52"/>
    <w:rPr>
      <w:rFonts w:ascii="Calibri" w:hAnsi="Calibri" w:cs="Times New Roman"/>
    </w:rPr>
  </w:style>
  <w:style w:type="paragraph" w:styleId="Header">
    <w:name w:val="header"/>
    <w:basedOn w:val="Normal"/>
    <w:link w:val="HeaderChar"/>
    <w:uiPriority w:val="99"/>
    <w:unhideWhenUsed/>
    <w:rsid w:val="008200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00F7"/>
  </w:style>
  <w:style w:type="paragraph" w:styleId="Footer">
    <w:name w:val="footer"/>
    <w:basedOn w:val="Normal"/>
    <w:link w:val="FooterChar"/>
    <w:uiPriority w:val="99"/>
    <w:unhideWhenUsed/>
    <w:rsid w:val="008200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00F7"/>
  </w:style>
  <w:style w:type="paragraph" w:styleId="BalloonText">
    <w:name w:val="Balloon Text"/>
    <w:basedOn w:val="Normal"/>
    <w:link w:val="BalloonTextChar"/>
    <w:uiPriority w:val="99"/>
    <w:semiHidden/>
    <w:unhideWhenUsed/>
    <w:rsid w:val="005D6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EB7"/>
    <w:rPr>
      <w:rFonts w:ascii="Tahoma" w:hAnsi="Tahoma" w:cs="Tahoma"/>
      <w:sz w:val="16"/>
      <w:szCs w:val="16"/>
    </w:rPr>
  </w:style>
  <w:style w:type="paragraph" w:styleId="ListParagraph">
    <w:name w:val="List Paragraph"/>
    <w:basedOn w:val="Normal"/>
    <w:uiPriority w:val="34"/>
    <w:qFormat/>
    <w:rsid w:val="005F3C9D"/>
    <w:pPr>
      <w:ind w:left="720"/>
      <w:contextualSpacing/>
    </w:pPr>
  </w:style>
  <w:style w:type="character" w:styleId="Hyperlink">
    <w:name w:val="Hyperlink"/>
    <w:basedOn w:val="DefaultParagraphFont"/>
    <w:uiPriority w:val="99"/>
    <w:unhideWhenUsed/>
    <w:rsid w:val="00610EF7"/>
    <w:rPr>
      <w:color w:val="0000FF"/>
      <w:u w:val="single"/>
    </w:rPr>
  </w:style>
  <w:style w:type="character" w:styleId="CommentReference">
    <w:name w:val="annotation reference"/>
    <w:basedOn w:val="DefaultParagraphFont"/>
    <w:semiHidden/>
    <w:rsid w:val="00A70926"/>
    <w:rPr>
      <w:sz w:val="16"/>
      <w:szCs w:val="16"/>
    </w:rPr>
  </w:style>
  <w:style w:type="paragraph" w:styleId="CommentText">
    <w:name w:val="annotation text"/>
    <w:basedOn w:val="Normal"/>
    <w:link w:val="CommentTextChar"/>
    <w:semiHidden/>
    <w:rsid w:val="00A70926"/>
    <w:rPr>
      <w:rFonts w:ascii="Calibri" w:eastAsia="Times New Roman" w:hAnsi="Calibri" w:cs="Times New Roman"/>
      <w:sz w:val="20"/>
      <w:szCs w:val="20"/>
    </w:rPr>
  </w:style>
  <w:style w:type="character" w:customStyle="1" w:styleId="CommentTextChar">
    <w:name w:val="Comment Text Char"/>
    <w:basedOn w:val="DefaultParagraphFont"/>
    <w:link w:val="CommentText"/>
    <w:semiHidden/>
    <w:rsid w:val="00A70926"/>
    <w:rPr>
      <w:rFonts w:ascii="Calibri" w:eastAsia="Times New Roman" w:hAnsi="Calibri" w:cs="Times New Roman"/>
      <w:sz w:val="20"/>
      <w:szCs w:val="20"/>
    </w:rPr>
  </w:style>
  <w:style w:type="paragraph" w:styleId="NormalWeb">
    <w:name w:val="Normal (Web)"/>
    <w:basedOn w:val="Normal"/>
    <w:uiPriority w:val="99"/>
    <w:semiHidden/>
    <w:unhideWhenUsed/>
    <w:rsid w:val="001967F9"/>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style-span">
    <w:name w:val="apple-style-span"/>
    <w:basedOn w:val="DefaultParagraphFont"/>
    <w:rsid w:val="00D934D3"/>
  </w:style>
  <w:style w:type="paragraph" w:customStyle="1" w:styleId="Default">
    <w:name w:val="Default"/>
    <w:rsid w:val="00645B7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624150"/>
    <w:rPr>
      <w:color w:val="800080" w:themeColor="followedHyperlink"/>
      <w:u w:val="single"/>
    </w:rPr>
  </w:style>
  <w:style w:type="paragraph" w:customStyle="1" w:styleId="xmsonormal">
    <w:name w:val="x_msonormal"/>
    <w:basedOn w:val="Normal"/>
    <w:rsid w:val="00DE7258"/>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81732">
      <w:bodyDiv w:val="1"/>
      <w:marLeft w:val="0"/>
      <w:marRight w:val="0"/>
      <w:marTop w:val="0"/>
      <w:marBottom w:val="0"/>
      <w:divBdr>
        <w:top w:val="none" w:sz="0" w:space="0" w:color="auto"/>
        <w:left w:val="none" w:sz="0" w:space="0" w:color="auto"/>
        <w:bottom w:val="none" w:sz="0" w:space="0" w:color="auto"/>
        <w:right w:val="none" w:sz="0" w:space="0" w:color="auto"/>
      </w:divBdr>
    </w:div>
    <w:div w:id="135799561">
      <w:bodyDiv w:val="1"/>
      <w:marLeft w:val="0"/>
      <w:marRight w:val="0"/>
      <w:marTop w:val="0"/>
      <w:marBottom w:val="0"/>
      <w:divBdr>
        <w:top w:val="none" w:sz="0" w:space="0" w:color="auto"/>
        <w:left w:val="none" w:sz="0" w:space="0" w:color="auto"/>
        <w:bottom w:val="none" w:sz="0" w:space="0" w:color="auto"/>
        <w:right w:val="none" w:sz="0" w:space="0" w:color="auto"/>
      </w:divBdr>
    </w:div>
    <w:div w:id="149978943">
      <w:bodyDiv w:val="1"/>
      <w:marLeft w:val="0"/>
      <w:marRight w:val="0"/>
      <w:marTop w:val="0"/>
      <w:marBottom w:val="0"/>
      <w:divBdr>
        <w:top w:val="none" w:sz="0" w:space="0" w:color="auto"/>
        <w:left w:val="none" w:sz="0" w:space="0" w:color="auto"/>
        <w:bottom w:val="none" w:sz="0" w:space="0" w:color="auto"/>
        <w:right w:val="none" w:sz="0" w:space="0" w:color="auto"/>
      </w:divBdr>
    </w:div>
    <w:div w:id="190608629">
      <w:bodyDiv w:val="1"/>
      <w:marLeft w:val="0"/>
      <w:marRight w:val="0"/>
      <w:marTop w:val="0"/>
      <w:marBottom w:val="0"/>
      <w:divBdr>
        <w:top w:val="none" w:sz="0" w:space="0" w:color="auto"/>
        <w:left w:val="none" w:sz="0" w:space="0" w:color="auto"/>
        <w:bottom w:val="none" w:sz="0" w:space="0" w:color="auto"/>
        <w:right w:val="none" w:sz="0" w:space="0" w:color="auto"/>
      </w:divBdr>
    </w:div>
    <w:div w:id="211157325">
      <w:bodyDiv w:val="1"/>
      <w:marLeft w:val="0"/>
      <w:marRight w:val="0"/>
      <w:marTop w:val="0"/>
      <w:marBottom w:val="0"/>
      <w:divBdr>
        <w:top w:val="none" w:sz="0" w:space="0" w:color="auto"/>
        <w:left w:val="none" w:sz="0" w:space="0" w:color="auto"/>
        <w:bottom w:val="none" w:sz="0" w:space="0" w:color="auto"/>
        <w:right w:val="none" w:sz="0" w:space="0" w:color="auto"/>
      </w:divBdr>
    </w:div>
    <w:div w:id="215047498">
      <w:bodyDiv w:val="1"/>
      <w:marLeft w:val="0"/>
      <w:marRight w:val="0"/>
      <w:marTop w:val="0"/>
      <w:marBottom w:val="0"/>
      <w:divBdr>
        <w:top w:val="none" w:sz="0" w:space="0" w:color="auto"/>
        <w:left w:val="none" w:sz="0" w:space="0" w:color="auto"/>
        <w:bottom w:val="none" w:sz="0" w:space="0" w:color="auto"/>
        <w:right w:val="none" w:sz="0" w:space="0" w:color="auto"/>
      </w:divBdr>
    </w:div>
    <w:div w:id="276718570">
      <w:bodyDiv w:val="1"/>
      <w:marLeft w:val="0"/>
      <w:marRight w:val="0"/>
      <w:marTop w:val="0"/>
      <w:marBottom w:val="0"/>
      <w:divBdr>
        <w:top w:val="none" w:sz="0" w:space="0" w:color="auto"/>
        <w:left w:val="none" w:sz="0" w:space="0" w:color="auto"/>
        <w:bottom w:val="none" w:sz="0" w:space="0" w:color="auto"/>
        <w:right w:val="none" w:sz="0" w:space="0" w:color="auto"/>
      </w:divBdr>
    </w:div>
    <w:div w:id="277302473">
      <w:bodyDiv w:val="1"/>
      <w:marLeft w:val="0"/>
      <w:marRight w:val="0"/>
      <w:marTop w:val="0"/>
      <w:marBottom w:val="0"/>
      <w:divBdr>
        <w:top w:val="none" w:sz="0" w:space="0" w:color="auto"/>
        <w:left w:val="none" w:sz="0" w:space="0" w:color="auto"/>
        <w:bottom w:val="none" w:sz="0" w:space="0" w:color="auto"/>
        <w:right w:val="none" w:sz="0" w:space="0" w:color="auto"/>
      </w:divBdr>
    </w:div>
    <w:div w:id="300382546">
      <w:bodyDiv w:val="1"/>
      <w:marLeft w:val="0"/>
      <w:marRight w:val="0"/>
      <w:marTop w:val="0"/>
      <w:marBottom w:val="0"/>
      <w:divBdr>
        <w:top w:val="none" w:sz="0" w:space="0" w:color="auto"/>
        <w:left w:val="none" w:sz="0" w:space="0" w:color="auto"/>
        <w:bottom w:val="none" w:sz="0" w:space="0" w:color="auto"/>
        <w:right w:val="none" w:sz="0" w:space="0" w:color="auto"/>
      </w:divBdr>
    </w:div>
    <w:div w:id="312951252">
      <w:bodyDiv w:val="1"/>
      <w:marLeft w:val="0"/>
      <w:marRight w:val="0"/>
      <w:marTop w:val="0"/>
      <w:marBottom w:val="0"/>
      <w:divBdr>
        <w:top w:val="none" w:sz="0" w:space="0" w:color="auto"/>
        <w:left w:val="none" w:sz="0" w:space="0" w:color="auto"/>
        <w:bottom w:val="none" w:sz="0" w:space="0" w:color="auto"/>
        <w:right w:val="none" w:sz="0" w:space="0" w:color="auto"/>
      </w:divBdr>
    </w:div>
    <w:div w:id="369962187">
      <w:bodyDiv w:val="1"/>
      <w:marLeft w:val="0"/>
      <w:marRight w:val="0"/>
      <w:marTop w:val="0"/>
      <w:marBottom w:val="0"/>
      <w:divBdr>
        <w:top w:val="none" w:sz="0" w:space="0" w:color="auto"/>
        <w:left w:val="none" w:sz="0" w:space="0" w:color="auto"/>
        <w:bottom w:val="none" w:sz="0" w:space="0" w:color="auto"/>
        <w:right w:val="none" w:sz="0" w:space="0" w:color="auto"/>
      </w:divBdr>
    </w:div>
    <w:div w:id="372273841">
      <w:bodyDiv w:val="1"/>
      <w:marLeft w:val="0"/>
      <w:marRight w:val="0"/>
      <w:marTop w:val="0"/>
      <w:marBottom w:val="0"/>
      <w:divBdr>
        <w:top w:val="none" w:sz="0" w:space="0" w:color="auto"/>
        <w:left w:val="none" w:sz="0" w:space="0" w:color="auto"/>
        <w:bottom w:val="none" w:sz="0" w:space="0" w:color="auto"/>
        <w:right w:val="none" w:sz="0" w:space="0" w:color="auto"/>
      </w:divBdr>
    </w:div>
    <w:div w:id="486670662">
      <w:bodyDiv w:val="1"/>
      <w:marLeft w:val="0"/>
      <w:marRight w:val="0"/>
      <w:marTop w:val="0"/>
      <w:marBottom w:val="0"/>
      <w:divBdr>
        <w:top w:val="none" w:sz="0" w:space="0" w:color="auto"/>
        <w:left w:val="none" w:sz="0" w:space="0" w:color="auto"/>
        <w:bottom w:val="none" w:sz="0" w:space="0" w:color="auto"/>
        <w:right w:val="none" w:sz="0" w:space="0" w:color="auto"/>
      </w:divBdr>
    </w:div>
    <w:div w:id="536042040">
      <w:bodyDiv w:val="1"/>
      <w:marLeft w:val="0"/>
      <w:marRight w:val="0"/>
      <w:marTop w:val="0"/>
      <w:marBottom w:val="0"/>
      <w:divBdr>
        <w:top w:val="none" w:sz="0" w:space="0" w:color="auto"/>
        <w:left w:val="none" w:sz="0" w:space="0" w:color="auto"/>
        <w:bottom w:val="none" w:sz="0" w:space="0" w:color="auto"/>
        <w:right w:val="none" w:sz="0" w:space="0" w:color="auto"/>
      </w:divBdr>
    </w:div>
    <w:div w:id="547842840">
      <w:bodyDiv w:val="1"/>
      <w:marLeft w:val="0"/>
      <w:marRight w:val="0"/>
      <w:marTop w:val="0"/>
      <w:marBottom w:val="0"/>
      <w:divBdr>
        <w:top w:val="none" w:sz="0" w:space="0" w:color="auto"/>
        <w:left w:val="none" w:sz="0" w:space="0" w:color="auto"/>
        <w:bottom w:val="none" w:sz="0" w:space="0" w:color="auto"/>
        <w:right w:val="none" w:sz="0" w:space="0" w:color="auto"/>
      </w:divBdr>
    </w:div>
    <w:div w:id="563219793">
      <w:bodyDiv w:val="1"/>
      <w:marLeft w:val="0"/>
      <w:marRight w:val="0"/>
      <w:marTop w:val="0"/>
      <w:marBottom w:val="0"/>
      <w:divBdr>
        <w:top w:val="none" w:sz="0" w:space="0" w:color="auto"/>
        <w:left w:val="none" w:sz="0" w:space="0" w:color="auto"/>
        <w:bottom w:val="none" w:sz="0" w:space="0" w:color="auto"/>
        <w:right w:val="none" w:sz="0" w:space="0" w:color="auto"/>
      </w:divBdr>
    </w:div>
    <w:div w:id="579870958">
      <w:bodyDiv w:val="1"/>
      <w:marLeft w:val="0"/>
      <w:marRight w:val="0"/>
      <w:marTop w:val="0"/>
      <w:marBottom w:val="0"/>
      <w:divBdr>
        <w:top w:val="none" w:sz="0" w:space="0" w:color="auto"/>
        <w:left w:val="none" w:sz="0" w:space="0" w:color="auto"/>
        <w:bottom w:val="none" w:sz="0" w:space="0" w:color="auto"/>
        <w:right w:val="none" w:sz="0" w:space="0" w:color="auto"/>
      </w:divBdr>
    </w:div>
    <w:div w:id="746537008">
      <w:bodyDiv w:val="1"/>
      <w:marLeft w:val="0"/>
      <w:marRight w:val="0"/>
      <w:marTop w:val="0"/>
      <w:marBottom w:val="0"/>
      <w:divBdr>
        <w:top w:val="none" w:sz="0" w:space="0" w:color="auto"/>
        <w:left w:val="none" w:sz="0" w:space="0" w:color="auto"/>
        <w:bottom w:val="none" w:sz="0" w:space="0" w:color="auto"/>
        <w:right w:val="none" w:sz="0" w:space="0" w:color="auto"/>
      </w:divBdr>
    </w:div>
    <w:div w:id="759259863">
      <w:bodyDiv w:val="1"/>
      <w:marLeft w:val="0"/>
      <w:marRight w:val="0"/>
      <w:marTop w:val="0"/>
      <w:marBottom w:val="0"/>
      <w:divBdr>
        <w:top w:val="none" w:sz="0" w:space="0" w:color="auto"/>
        <w:left w:val="none" w:sz="0" w:space="0" w:color="auto"/>
        <w:bottom w:val="none" w:sz="0" w:space="0" w:color="auto"/>
        <w:right w:val="none" w:sz="0" w:space="0" w:color="auto"/>
      </w:divBdr>
    </w:div>
    <w:div w:id="761948639">
      <w:bodyDiv w:val="1"/>
      <w:marLeft w:val="0"/>
      <w:marRight w:val="0"/>
      <w:marTop w:val="0"/>
      <w:marBottom w:val="0"/>
      <w:divBdr>
        <w:top w:val="none" w:sz="0" w:space="0" w:color="auto"/>
        <w:left w:val="none" w:sz="0" w:space="0" w:color="auto"/>
        <w:bottom w:val="none" w:sz="0" w:space="0" w:color="auto"/>
        <w:right w:val="none" w:sz="0" w:space="0" w:color="auto"/>
      </w:divBdr>
    </w:div>
    <w:div w:id="815997601">
      <w:bodyDiv w:val="1"/>
      <w:marLeft w:val="0"/>
      <w:marRight w:val="0"/>
      <w:marTop w:val="0"/>
      <w:marBottom w:val="0"/>
      <w:divBdr>
        <w:top w:val="none" w:sz="0" w:space="0" w:color="auto"/>
        <w:left w:val="none" w:sz="0" w:space="0" w:color="auto"/>
        <w:bottom w:val="none" w:sz="0" w:space="0" w:color="auto"/>
        <w:right w:val="none" w:sz="0" w:space="0" w:color="auto"/>
      </w:divBdr>
    </w:div>
    <w:div w:id="881208555">
      <w:bodyDiv w:val="1"/>
      <w:marLeft w:val="0"/>
      <w:marRight w:val="0"/>
      <w:marTop w:val="0"/>
      <w:marBottom w:val="0"/>
      <w:divBdr>
        <w:top w:val="none" w:sz="0" w:space="0" w:color="auto"/>
        <w:left w:val="none" w:sz="0" w:space="0" w:color="auto"/>
        <w:bottom w:val="none" w:sz="0" w:space="0" w:color="auto"/>
        <w:right w:val="none" w:sz="0" w:space="0" w:color="auto"/>
      </w:divBdr>
    </w:div>
    <w:div w:id="927233443">
      <w:bodyDiv w:val="1"/>
      <w:marLeft w:val="0"/>
      <w:marRight w:val="0"/>
      <w:marTop w:val="0"/>
      <w:marBottom w:val="0"/>
      <w:divBdr>
        <w:top w:val="none" w:sz="0" w:space="0" w:color="auto"/>
        <w:left w:val="none" w:sz="0" w:space="0" w:color="auto"/>
        <w:bottom w:val="none" w:sz="0" w:space="0" w:color="auto"/>
        <w:right w:val="none" w:sz="0" w:space="0" w:color="auto"/>
      </w:divBdr>
    </w:div>
    <w:div w:id="942952653">
      <w:bodyDiv w:val="1"/>
      <w:marLeft w:val="0"/>
      <w:marRight w:val="0"/>
      <w:marTop w:val="0"/>
      <w:marBottom w:val="0"/>
      <w:divBdr>
        <w:top w:val="none" w:sz="0" w:space="0" w:color="auto"/>
        <w:left w:val="none" w:sz="0" w:space="0" w:color="auto"/>
        <w:bottom w:val="none" w:sz="0" w:space="0" w:color="auto"/>
        <w:right w:val="none" w:sz="0" w:space="0" w:color="auto"/>
      </w:divBdr>
    </w:div>
    <w:div w:id="958681023">
      <w:bodyDiv w:val="1"/>
      <w:marLeft w:val="0"/>
      <w:marRight w:val="0"/>
      <w:marTop w:val="0"/>
      <w:marBottom w:val="0"/>
      <w:divBdr>
        <w:top w:val="none" w:sz="0" w:space="0" w:color="auto"/>
        <w:left w:val="none" w:sz="0" w:space="0" w:color="auto"/>
        <w:bottom w:val="none" w:sz="0" w:space="0" w:color="auto"/>
        <w:right w:val="none" w:sz="0" w:space="0" w:color="auto"/>
      </w:divBdr>
    </w:div>
    <w:div w:id="1073821037">
      <w:bodyDiv w:val="1"/>
      <w:marLeft w:val="0"/>
      <w:marRight w:val="0"/>
      <w:marTop w:val="0"/>
      <w:marBottom w:val="0"/>
      <w:divBdr>
        <w:top w:val="none" w:sz="0" w:space="0" w:color="auto"/>
        <w:left w:val="none" w:sz="0" w:space="0" w:color="auto"/>
        <w:bottom w:val="none" w:sz="0" w:space="0" w:color="auto"/>
        <w:right w:val="none" w:sz="0" w:space="0" w:color="auto"/>
      </w:divBdr>
    </w:div>
    <w:div w:id="1153566521">
      <w:bodyDiv w:val="1"/>
      <w:marLeft w:val="0"/>
      <w:marRight w:val="0"/>
      <w:marTop w:val="0"/>
      <w:marBottom w:val="0"/>
      <w:divBdr>
        <w:top w:val="none" w:sz="0" w:space="0" w:color="auto"/>
        <w:left w:val="none" w:sz="0" w:space="0" w:color="auto"/>
        <w:bottom w:val="none" w:sz="0" w:space="0" w:color="auto"/>
        <w:right w:val="none" w:sz="0" w:space="0" w:color="auto"/>
      </w:divBdr>
    </w:div>
    <w:div w:id="1178538790">
      <w:bodyDiv w:val="1"/>
      <w:marLeft w:val="0"/>
      <w:marRight w:val="0"/>
      <w:marTop w:val="0"/>
      <w:marBottom w:val="0"/>
      <w:divBdr>
        <w:top w:val="none" w:sz="0" w:space="0" w:color="auto"/>
        <w:left w:val="none" w:sz="0" w:space="0" w:color="auto"/>
        <w:bottom w:val="none" w:sz="0" w:space="0" w:color="auto"/>
        <w:right w:val="none" w:sz="0" w:space="0" w:color="auto"/>
      </w:divBdr>
    </w:div>
    <w:div w:id="1208570301">
      <w:bodyDiv w:val="1"/>
      <w:marLeft w:val="0"/>
      <w:marRight w:val="0"/>
      <w:marTop w:val="0"/>
      <w:marBottom w:val="0"/>
      <w:divBdr>
        <w:top w:val="none" w:sz="0" w:space="0" w:color="auto"/>
        <w:left w:val="none" w:sz="0" w:space="0" w:color="auto"/>
        <w:bottom w:val="none" w:sz="0" w:space="0" w:color="auto"/>
        <w:right w:val="none" w:sz="0" w:space="0" w:color="auto"/>
      </w:divBdr>
    </w:div>
    <w:div w:id="1263562263">
      <w:bodyDiv w:val="1"/>
      <w:marLeft w:val="0"/>
      <w:marRight w:val="0"/>
      <w:marTop w:val="0"/>
      <w:marBottom w:val="0"/>
      <w:divBdr>
        <w:top w:val="none" w:sz="0" w:space="0" w:color="auto"/>
        <w:left w:val="none" w:sz="0" w:space="0" w:color="auto"/>
        <w:bottom w:val="none" w:sz="0" w:space="0" w:color="auto"/>
        <w:right w:val="none" w:sz="0" w:space="0" w:color="auto"/>
      </w:divBdr>
    </w:div>
    <w:div w:id="1295063788">
      <w:bodyDiv w:val="1"/>
      <w:marLeft w:val="0"/>
      <w:marRight w:val="0"/>
      <w:marTop w:val="0"/>
      <w:marBottom w:val="0"/>
      <w:divBdr>
        <w:top w:val="none" w:sz="0" w:space="0" w:color="auto"/>
        <w:left w:val="none" w:sz="0" w:space="0" w:color="auto"/>
        <w:bottom w:val="none" w:sz="0" w:space="0" w:color="auto"/>
        <w:right w:val="none" w:sz="0" w:space="0" w:color="auto"/>
      </w:divBdr>
    </w:div>
    <w:div w:id="1399328747">
      <w:bodyDiv w:val="1"/>
      <w:marLeft w:val="0"/>
      <w:marRight w:val="0"/>
      <w:marTop w:val="0"/>
      <w:marBottom w:val="0"/>
      <w:divBdr>
        <w:top w:val="none" w:sz="0" w:space="0" w:color="auto"/>
        <w:left w:val="none" w:sz="0" w:space="0" w:color="auto"/>
        <w:bottom w:val="none" w:sz="0" w:space="0" w:color="auto"/>
        <w:right w:val="none" w:sz="0" w:space="0" w:color="auto"/>
      </w:divBdr>
    </w:div>
    <w:div w:id="1438452297">
      <w:bodyDiv w:val="1"/>
      <w:marLeft w:val="0"/>
      <w:marRight w:val="0"/>
      <w:marTop w:val="0"/>
      <w:marBottom w:val="0"/>
      <w:divBdr>
        <w:top w:val="none" w:sz="0" w:space="0" w:color="auto"/>
        <w:left w:val="none" w:sz="0" w:space="0" w:color="auto"/>
        <w:bottom w:val="none" w:sz="0" w:space="0" w:color="auto"/>
        <w:right w:val="none" w:sz="0" w:space="0" w:color="auto"/>
      </w:divBdr>
    </w:div>
    <w:div w:id="1454011461">
      <w:bodyDiv w:val="1"/>
      <w:marLeft w:val="0"/>
      <w:marRight w:val="0"/>
      <w:marTop w:val="0"/>
      <w:marBottom w:val="0"/>
      <w:divBdr>
        <w:top w:val="none" w:sz="0" w:space="0" w:color="auto"/>
        <w:left w:val="none" w:sz="0" w:space="0" w:color="auto"/>
        <w:bottom w:val="none" w:sz="0" w:space="0" w:color="auto"/>
        <w:right w:val="none" w:sz="0" w:space="0" w:color="auto"/>
      </w:divBdr>
    </w:div>
    <w:div w:id="1454859849">
      <w:bodyDiv w:val="1"/>
      <w:marLeft w:val="0"/>
      <w:marRight w:val="0"/>
      <w:marTop w:val="0"/>
      <w:marBottom w:val="0"/>
      <w:divBdr>
        <w:top w:val="none" w:sz="0" w:space="0" w:color="auto"/>
        <w:left w:val="none" w:sz="0" w:space="0" w:color="auto"/>
        <w:bottom w:val="none" w:sz="0" w:space="0" w:color="auto"/>
        <w:right w:val="none" w:sz="0" w:space="0" w:color="auto"/>
      </w:divBdr>
    </w:div>
    <w:div w:id="1484859033">
      <w:bodyDiv w:val="1"/>
      <w:marLeft w:val="0"/>
      <w:marRight w:val="0"/>
      <w:marTop w:val="0"/>
      <w:marBottom w:val="0"/>
      <w:divBdr>
        <w:top w:val="none" w:sz="0" w:space="0" w:color="auto"/>
        <w:left w:val="none" w:sz="0" w:space="0" w:color="auto"/>
        <w:bottom w:val="none" w:sz="0" w:space="0" w:color="auto"/>
        <w:right w:val="none" w:sz="0" w:space="0" w:color="auto"/>
      </w:divBdr>
    </w:div>
    <w:div w:id="1491211585">
      <w:bodyDiv w:val="1"/>
      <w:marLeft w:val="0"/>
      <w:marRight w:val="0"/>
      <w:marTop w:val="0"/>
      <w:marBottom w:val="0"/>
      <w:divBdr>
        <w:top w:val="none" w:sz="0" w:space="0" w:color="auto"/>
        <w:left w:val="none" w:sz="0" w:space="0" w:color="auto"/>
        <w:bottom w:val="none" w:sz="0" w:space="0" w:color="auto"/>
        <w:right w:val="none" w:sz="0" w:space="0" w:color="auto"/>
      </w:divBdr>
    </w:div>
    <w:div w:id="1504011258">
      <w:bodyDiv w:val="1"/>
      <w:marLeft w:val="0"/>
      <w:marRight w:val="0"/>
      <w:marTop w:val="0"/>
      <w:marBottom w:val="0"/>
      <w:divBdr>
        <w:top w:val="none" w:sz="0" w:space="0" w:color="auto"/>
        <w:left w:val="none" w:sz="0" w:space="0" w:color="auto"/>
        <w:bottom w:val="none" w:sz="0" w:space="0" w:color="auto"/>
        <w:right w:val="none" w:sz="0" w:space="0" w:color="auto"/>
      </w:divBdr>
    </w:div>
    <w:div w:id="1536309702">
      <w:bodyDiv w:val="1"/>
      <w:marLeft w:val="0"/>
      <w:marRight w:val="0"/>
      <w:marTop w:val="0"/>
      <w:marBottom w:val="0"/>
      <w:divBdr>
        <w:top w:val="none" w:sz="0" w:space="0" w:color="auto"/>
        <w:left w:val="none" w:sz="0" w:space="0" w:color="auto"/>
        <w:bottom w:val="none" w:sz="0" w:space="0" w:color="auto"/>
        <w:right w:val="none" w:sz="0" w:space="0" w:color="auto"/>
      </w:divBdr>
    </w:div>
    <w:div w:id="1570965594">
      <w:bodyDiv w:val="1"/>
      <w:marLeft w:val="0"/>
      <w:marRight w:val="0"/>
      <w:marTop w:val="0"/>
      <w:marBottom w:val="0"/>
      <w:divBdr>
        <w:top w:val="none" w:sz="0" w:space="0" w:color="auto"/>
        <w:left w:val="none" w:sz="0" w:space="0" w:color="auto"/>
        <w:bottom w:val="none" w:sz="0" w:space="0" w:color="auto"/>
        <w:right w:val="none" w:sz="0" w:space="0" w:color="auto"/>
      </w:divBdr>
    </w:div>
    <w:div w:id="1621373053">
      <w:bodyDiv w:val="1"/>
      <w:marLeft w:val="0"/>
      <w:marRight w:val="0"/>
      <w:marTop w:val="0"/>
      <w:marBottom w:val="0"/>
      <w:divBdr>
        <w:top w:val="none" w:sz="0" w:space="0" w:color="auto"/>
        <w:left w:val="none" w:sz="0" w:space="0" w:color="auto"/>
        <w:bottom w:val="none" w:sz="0" w:space="0" w:color="auto"/>
        <w:right w:val="none" w:sz="0" w:space="0" w:color="auto"/>
      </w:divBdr>
    </w:div>
    <w:div w:id="1621916990">
      <w:bodyDiv w:val="1"/>
      <w:marLeft w:val="0"/>
      <w:marRight w:val="0"/>
      <w:marTop w:val="0"/>
      <w:marBottom w:val="0"/>
      <w:divBdr>
        <w:top w:val="none" w:sz="0" w:space="0" w:color="auto"/>
        <w:left w:val="none" w:sz="0" w:space="0" w:color="auto"/>
        <w:bottom w:val="none" w:sz="0" w:space="0" w:color="auto"/>
        <w:right w:val="none" w:sz="0" w:space="0" w:color="auto"/>
      </w:divBdr>
    </w:div>
    <w:div w:id="1651515142">
      <w:bodyDiv w:val="1"/>
      <w:marLeft w:val="0"/>
      <w:marRight w:val="0"/>
      <w:marTop w:val="0"/>
      <w:marBottom w:val="0"/>
      <w:divBdr>
        <w:top w:val="none" w:sz="0" w:space="0" w:color="auto"/>
        <w:left w:val="none" w:sz="0" w:space="0" w:color="auto"/>
        <w:bottom w:val="none" w:sz="0" w:space="0" w:color="auto"/>
        <w:right w:val="none" w:sz="0" w:space="0" w:color="auto"/>
      </w:divBdr>
    </w:div>
    <w:div w:id="1668896296">
      <w:bodyDiv w:val="1"/>
      <w:marLeft w:val="0"/>
      <w:marRight w:val="0"/>
      <w:marTop w:val="0"/>
      <w:marBottom w:val="0"/>
      <w:divBdr>
        <w:top w:val="none" w:sz="0" w:space="0" w:color="auto"/>
        <w:left w:val="none" w:sz="0" w:space="0" w:color="auto"/>
        <w:bottom w:val="none" w:sz="0" w:space="0" w:color="auto"/>
        <w:right w:val="none" w:sz="0" w:space="0" w:color="auto"/>
      </w:divBdr>
    </w:div>
    <w:div w:id="1688091477">
      <w:bodyDiv w:val="1"/>
      <w:marLeft w:val="0"/>
      <w:marRight w:val="0"/>
      <w:marTop w:val="0"/>
      <w:marBottom w:val="0"/>
      <w:divBdr>
        <w:top w:val="none" w:sz="0" w:space="0" w:color="auto"/>
        <w:left w:val="none" w:sz="0" w:space="0" w:color="auto"/>
        <w:bottom w:val="none" w:sz="0" w:space="0" w:color="auto"/>
        <w:right w:val="none" w:sz="0" w:space="0" w:color="auto"/>
      </w:divBdr>
    </w:div>
    <w:div w:id="1790394653">
      <w:bodyDiv w:val="1"/>
      <w:marLeft w:val="0"/>
      <w:marRight w:val="0"/>
      <w:marTop w:val="0"/>
      <w:marBottom w:val="0"/>
      <w:divBdr>
        <w:top w:val="none" w:sz="0" w:space="0" w:color="auto"/>
        <w:left w:val="none" w:sz="0" w:space="0" w:color="auto"/>
        <w:bottom w:val="none" w:sz="0" w:space="0" w:color="auto"/>
        <w:right w:val="none" w:sz="0" w:space="0" w:color="auto"/>
      </w:divBdr>
    </w:div>
    <w:div w:id="1806656563">
      <w:bodyDiv w:val="1"/>
      <w:marLeft w:val="0"/>
      <w:marRight w:val="0"/>
      <w:marTop w:val="0"/>
      <w:marBottom w:val="0"/>
      <w:divBdr>
        <w:top w:val="none" w:sz="0" w:space="0" w:color="auto"/>
        <w:left w:val="none" w:sz="0" w:space="0" w:color="auto"/>
        <w:bottom w:val="none" w:sz="0" w:space="0" w:color="auto"/>
        <w:right w:val="none" w:sz="0" w:space="0" w:color="auto"/>
      </w:divBdr>
    </w:div>
    <w:div w:id="1822425877">
      <w:bodyDiv w:val="1"/>
      <w:marLeft w:val="0"/>
      <w:marRight w:val="0"/>
      <w:marTop w:val="0"/>
      <w:marBottom w:val="0"/>
      <w:divBdr>
        <w:top w:val="none" w:sz="0" w:space="0" w:color="auto"/>
        <w:left w:val="none" w:sz="0" w:space="0" w:color="auto"/>
        <w:bottom w:val="none" w:sz="0" w:space="0" w:color="auto"/>
        <w:right w:val="none" w:sz="0" w:space="0" w:color="auto"/>
      </w:divBdr>
    </w:div>
    <w:div w:id="1905411799">
      <w:bodyDiv w:val="1"/>
      <w:marLeft w:val="0"/>
      <w:marRight w:val="0"/>
      <w:marTop w:val="0"/>
      <w:marBottom w:val="0"/>
      <w:divBdr>
        <w:top w:val="none" w:sz="0" w:space="0" w:color="auto"/>
        <w:left w:val="none" w:sz="0" w:space="0" w:color="auto"/>
        <w:bottom w:val="none" w:sz="0" w:space="0" w:color="auto"/>
        <w:right w:val="none" w:sz="0" w:space="0" w:color="auto"/>
      </w:divBdr>
    </w:div>
    <w:div w:id="2084253391">
      <w:bodyDiv w:val="1"/>
      <w:marLeft w:val="0"/>
      <w:marRight w:val="0"/>
      <w:marTop w:val="0"/>
      <w:marBottom w:val="0"/>
      <w:divBdr>
        <w:top w:val="none" w:sz="0" w:space="0" w:color="auto"/>
        <w:left w:val="none" w:sz="0" w:space="0" w:color="auto"/>
        <w:bottom w:val="none" w:sz="0" w:space="0" w:color="auto"/>
        <w:right w:val="none" w:sz="0" w:space="0" w:color="auto"/>
      </w:divBdr>
    </w:div>
    <w:div w:id="2094233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2.safelinks.protection.outlook.com/?url=https%3A%2F%2Fwww.redwoods.edu%2FPortals%2F34%2FReports%2F2021-2022%2520Final%2520Budget%2520and%2520Multi-Year%2520Forecast%25205.07%2520COLA%2520w%2520pages.pdf%3Fver%3D2021-09-08-110124-167&amp;data=04%7C01%7CAngelina-Hill%40Redwoods.edu%7C877d9e9b0a1846c928a408d9f0067587%7C8c90edff0a7243a795683eb28b3c8f82%7C0%7C0%7C637804732811523619%7CUnknown%7CTWFpbGZsb3d8eyJWIjoiMC4wLjAwMDAiLCJQIjoiV2luMzIiLCJBTiI6Ik1haWwiLCJXVCI6Mn0%3D%7C3000&amp;sdata=XLLLs5UTJ%2FiSvhyqYESCzbt7QxCWO5OF2hbn7DMwKTs%3D&amp;reserved=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dwoods.edu/accreditation/NewHome/Midterm-Report/2021Details/ArtMID/21688/ArticleID/5631/Student-Learning-Outcomes-Standard-IB2"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woods.edu/accreditation/NewHome/Midterm-Report/2021Details/ArtMID/21688/ArticleID/5629/Recommendation-6-Outcome-assessment-and-data-primarily-for-student-service-area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redwoods.edu/accreditation/NewHome/Midterm-Report/2021Details/ArtMID/21688/ArticleID/5627/Recommendation-4-SLO-Response" TargetMode="External"/><Relationship Id="rId4" Type="http://schemas.openxmlformats.org/officeDocument/2006/relationships/settings" Target="settings.xml"/><Relationship Id="rId9" Type="http://schemas.openxmlformats.org/officeDocument/2006/relationships/hyperlink" Target="https://www.redwoods.edu/assess/Home/Resourc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981E5-052B-4AF5-842C-46AFE4CC4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922</TotalTime>
  <Pages>10</Pages>
  <Words>2980</Words>
  <Characters>16991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INSTITUTIONAL EFFECTIVENESS REPORT</Company>
  <LinksUpToDate>false</LinksUpToDate>
  <CharactersWithSpaces>19932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Hill, Angelina</cp:lastModifiedBy>
  <cp:revision>47</cp:revision>
  <cp:lastPrinted>2014-03-04T20:16:00Z</cp:lastPrinted>
  <dcterms:created xsi:type="dcterms:W3CDTF">2018-02-07T00:16:00Z</dcterms:created>
  <dcterms:modified xsi:type="dcterms:W3CDTF">2022-07-07T21:11:00Z</dcterms:modified>
</cp:coreProperties>
</file>