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E05F" w14:textId="7DB4CC11" w:rsidR="003730B7" w:rsidRDefault="003730B7" w:rsidP="003730B7">
      <w:pPr>
        <w:contextualSpacing w:val="0"/>
        <w:jc w:val="center"/>
        <w:rPr>
          <w:rFonts w:ascii="Cormorant Garamond" w:eastAsia="Cormorant Garamond" w:hAnsi="Cormorant Garamond" w:cs="Cormorant Garamond"/>
          <w:sz w:val="36"/>
          <w:szCs w:val="36"/>
        </w:rPr>
      </w:pPr>
      <w:r>
        <w:rPr>
          <w:rFonts w:ascii="Cormorant Garamond" w:eastAsia="Cormorant Garamond" w:hAnsi="Cormorant Garamond" w:cs="Cormorant Garamond"/>
          <w:sz w:val="36"/>
          <w:szCs w:val="36"/>
        </w:rPr>
        <w:t>Informed Consent for Enrollment Below Transfer</w:t>
      </w:r>
      <w:r w:rsidR="00AB1DE0">
        <w:rPr>
          <w:rFonts w:ascii="Cormorant Garamond" w:eastAsia="Cormorant Garamond" w:hAnsi="Cormorant Garamond" w:cs="Cormorant Garamond"/>
          <w:sz w:val="36"/>
          <w:szCs w:val="36"/>
        </w:rPr>
        <w:t>-</w:t>
      </w:r>
      <w:r>
        <w:rPr>
          <w:rFonts w:ascii="Cormorant Garamond" w:eastAsia="Cormorant Garamond" w:hAnsi="Cormorant Garamond" w:cs="Cormorant Garamond"/>
          <w:sz w:val="36"/>
          <w:szCs w:val="36"/>
        </w:rPr>
        <w:t>Level</w:t>
      </w:r>
    </w:p>
    <w:p w14:paraId="386C63B2" w14:textId="77777777" w:rsidR="003730B7" w:rsidRDefault="00D417F7" w:rsidP="003730B7">
      <w:pPr>
        <w:contextualSpacing w:val="0"/>
        <w:jc w:val="center"/>
        <w:rPr>
          <w:rFonts w:ascii="Cormorant Garamond" w:eastAsia="Cormorant Garamond" w:hAnsi="Cormorant Garamond" w:cs="Cormorant Garamond"/>
          <w:sz w:val="36"/>
          <w:szCs w:val="36"/>
        </w:rPr>
      </w:pPr>
      <w:r>
        <w:pict w14:anchorId="596C6550">
          <v:rect id="_x0000_i1025" style="width:0;height:1.5pt" o:hralign="center" o:hrstd="t" o:hr="t" fillcolor="#a0a0a0" stroked="f"/>
        </w:pict>
      </w:r>
    </w:p>
    <w:p w14:paraId="2E6CD4B1" w14:textId="68C656E3" w:rsidR="00AB1DE0" w:rsidRPr="00AB1DE0" w:rsidRDefault="003730B7" w:rsidP="00AB1DE0">
      <w:pPr>
        <w:spacing w:line="240" w:lineRule="auto"/>
        <w:rPr>
          <w:rFonts w:ascii="Times New Roman" w:hAnsi="Times New Roman" w:cs="Times New Roman"/>
          <w:sz w:val="24"/>
          <w:szCs w:val="24"/>
        </w:rPr>
      </w:pPr>
      <w:r w:rsidRPr="00AB1DE0">
        <w:rPr>
          <w:rFonts w:ascii="Nanum Myeongjo" w:eastAsia="Nanum Myeongjo" w:hAnsi="Nanum Myeongjo" w:cs="Nanum Myeongjo"/>
          <w:sz w:val="24"/>
          <w:szCs w:val="24"/>
        </w:rPr>
        <w:t xml:space="preserve">You are attempting to register for </w:t>
      </w:r>
      <w:r w:rsidR="00B8271D" w:rsidRPr="00AB1DE0">
        <w:rPr>
          <w:rFonts w:ascii="Nanum Myeongjo" w:eastAsia="Nanum Myeongjo" w:hAnsi="Nanum Myeongjo" w:cs="Nanum Myeongjo"/>
          <w:sz w:val="24"/>
          <w:szCs w:val="24"/>
        </w:rPr>
        <w:t xml:space="preserve">a </w:t>
      </w:r>
      <w:r w:rsidRPr="00AB1DE0">
        <w:rPr>
          <w:rFonts w:ascii="Nanum Myeongjo" w:eastAsia="Nanum Myeongjo" w:hAnsi="Nanum Myeongjo" w:cs="Nanum Myeongjo"/>
          <w:sz w:val="24"/>
          <w:szCs w:val="24"/>
        </w:rPr>
        <w:t>below transfer-level course</w:t>
      </w:r>
      <w:r w:rsidR="00B8271D" w:rsidRPr="00AB1DE0">
        <w:rPr>
          <w:rFonts w:ascii="Nanum Myeongjo" w:eastAsia="Nanum Myeongjo" w:hAnsi="Nanum Myeongjo" w:cs="Nanum Myeongjo"/>
          <w:sz w:val="24"/>
          <w:szCs w:val="24"/>
        </w:rPr>
        <w:t xml:space="preserve"> in </w:t>
      </w:r>
      <w:r w:rsidR="00811BA0" w:rsidRPr="00AB1DE0">
        <w:rPr>
          <w:rFonts w:ascii="Nanum Myeongjo" w:eastAsia="Nanum Myeongjo" w:hAnsi="Nanum Myeongjo" w:cs="Nanum Myeongjo"/>
          <w:sz w:val="24"/>
          <w:szCs w:val="24"/>
        </w:rPr>
        <w:t>m</w:t>
      </w:r>
      <w:r w:rsidR="00B8271D" w:rsidRPr="00AB1DE0">
        <w:rPr>
          <w:rFonts w:ascii="Nanum Myeongjo" w:eastAsia="Nanum Myeongjo" w:hAnsi="Nanum Myeongjo" w:cs="Nanum Myeongjo"/>
          <w:sz w:val="24"/>
          <w:szCs w:val="24"/>
        </w:rPr>
        <w:t>athematics.</w:t>
      </w:r>
      <w:r w:rsidRPr="00AB1DE0">
        <w:rPr>
          <w:rFonts w:ascii="Nanum Myeongjo" w:eastAsia="Nanum Myeongjo" w:hAnsi="Nanum Myeongjo" w:cs="Nanum Myeongjo"/>
          <w:sz w:val="24"/>
          <w:szCs w:val="24"/>
        </w:rPr>
        <w:t xml:space="preserve"> We want to make you aware that you have the right to access transfer-level coursework in math (Ed Code 78221.5</w:t>
      </w:r>
      <w:r w:rsidR="00B8271D" w:rsidRPr="00AB1DE0">
        <w:rPr>
          <w:rFonts w:ascii="Nanum Myeongjo" w:eastAsia="Nanum Myeongjo" w:hAnsi="Nanum Myeongjo" w:cs="Nanum Myeongjo"/>
          <w:sz w:val="24"/>
          <w:szCs w:val="24"/>
        </w:rPr>
        <w:t>) a</w:t>
      </w:r>
      <w:r w:rsidRPr="00AB1DE0">
        <w:rPr>
          <w:rFonts w:ascii="Nanum Myeongjo" w:eastAsia="Nanum Myeongjo" w:hAnsi="Nanum Myeongjo" w:cs="Nanum Myeongjo"/>
          <w:sz w:val="24"/>
          <w:szCs w:val="24"/>
        </w:rPr>
        <w:t xml:space="preserve">nd we want to share some information with you about why taking </w:t>
      </w:r>
      <w:r w:rsidR="00811BA0" w:rsidRPr="00AB1DE0">
        <w:rPr>
          <w:rFonts w:ascii="Nanum Myeongjo" w:eastAsia="Nanum Myeongjo" w:hAnsi="Nanum Myeongjo" w:cs="Nanum Myeongjo"/>
          <w:sz w:val="24"/>
          <w:szCs w:val="24"/>
        </w:rPr>
        <w:t>a</w:t>
      </w:r>
      <w:r w:rsidRPr="00AB1DE0">
        <w:rPr>
          <w:rFonts w:ascii="Nanum Myeongjo" w:eastAsia="Nanum Myeongjo" w:hAnsi="Nanum Myeongjo" w:cs="Nanum Myeongjo"/>
          <w:sz w:val="24"/>
          <w:szCs w:val="24"/>
        </w:rPr>
        <w:t xml:space="preserve"> transfer-level </w:t>
      </w:r>
      <w:r w:rsidR="00811BA0" w:rsidRPr="00AB1DE0">
        <w:rPr>
          <w:rFonts w:ascii="Nanum Myeongjo" w:eastAsia="Nanum Myeongjo" w:hAnsi="Nanum Myeongjo" w:cs="Nanum Myeongjo"/>
          <w:sz w:val="24"/>
          <w:szCs w:val="24"/>
        </w:rPr>
        <w:t xml:space="preserve">math </w:t>
      </w:r>
      <w:r w:rsidRPr="00AB1DE0">
        <w:rPr>
          <w:rFonts w:ascii="Nanum Myeongjo" w:eastAsia="Nanum Myeongjo" w:hAnsi="Nanum Myeongjo" w:cs="Nanum Myeongjo"/>
          <w:sz w:val="24"/>
          <w:szCs w:val="24"/>
        </w:rPr>
        <w:t>course is so important.</w:t>
      </w:r>
      <w:r w:rsidR="00AB1DE0" w:rsidRPr="00AB1DE0">
        <w:rPr>
          <w:rFonts w:ascii="Nanum Myeongjo" w:eastAsia="Nanum Myeongjo" w:hAnsi="Nanum Myeongjo" w:cs="Nanum Myeongjo"/>
          <w:sz w:val="24"/>
          <w:szCs w:val="24"/>
        </w:rPr>
        <w:t xml:space="preserve"> </w:t>
      </w:r>
      <w:r w:rsidR="00AB1DE0" w:rsidRPr="00AB1DE0">
        <w:rPr>
          <w:rFonts w:ascii="Times New Roman" w:hAnsi="Times New Roman" w:cs="Times New Roman"/>
          <w:sz w:val="24"/>
          <w:szCs w:val="24"/>
        </w:rPr>
        <w:t>______Initial</w:t>
      </w:r>
    </w:p>
    <w:p w14:paraId="4A4DA94C" w14:textId="77777777" w:rsidR="003730B7" w:rsidRPr="00AB1DE0" w:rsidRDefault="003730B7" w:rsidP="00AB1DE0">
      <w:pPr>
        <w:spacing w:line="240" w:lineRule="auto"/>
        <w:contextualSpacing w:val="0"/>
        <w:jc w:val="both"/>
        <w:rPr>
          <w:rFonts w:ascii="Nanum Myeongjo" w:eastAsia="Nanum Myeongjo" w:hAnsi="Nanum Myeongjo" w:cs="Nanum Myeongjo"/>
          <w:sz w:val="24"/>
          <w:szCs w:val="24"/>
        </w:rPr>
      </w:pPr>
    </w:p>
    <w:p w14:paraId="0A3FF31C" w14:textId="06836058" w:rsidR="00AB1DE0" w:rsidRPr="00AB1DE0" w:rsidRDefault="003730B7" w:rsidP="00AB1DE0">
      <w:pPr>
        <w:spacing w:line="240" w:lineRule="auto"/>
        <w:rPr>
          <w:rFonts w:ascii="Times New Roman" w:hAnsi="Times New Roman" w:cs="Times New Roman"/>
          <w:sz w:val="24"/>
          <w:szCs w:val="24"/>
        </w:rPr>
      </w:pPr>
      <w:bookmarkStart w:id="0" w:name="_Hlk535847926"/>
      <w:r w:rsidRPr="00AB1DE0">
        <w:rPr>
          <w:rFonts w:ascii="Nanum Myeongjo" w:eastAsia="Nanum Myeongjo" w:hAnsi="Nanum Myeongjo" w:cs="Nanum Myeongjo"/>
          <w:sz w:val="24"/>
          <w:szCs w:val="24"/>
        </w:rPr>
        <w:t>The right to access transfer-level course work is an important equity issue</w:t>
      </w:r>
      <w:r w:rsidR="00811BA0" w:rsidRPr="00AB1DE0">
        <w:rPr>
          <w:rFonts w:ascii="Nanum Myeongjo" w:eastAsia="Nanum Myeongjo" w:hAnsi="Nanum Myeongjo" w:cs="Nanum Myeongjo"/>
          <w:sz w:val="24"/>
          <w:szCs w:val="24"/>
        </w:rPr>
        <w:t>. The creation of Assembly Bill 705 insists that California Community Colleges revise their existing assessment and placement processes to give all students the best possible opportunity for success</w:t>
      </w:r>
      <w:r w:rsidR="00AB1DE0" w:rsidRPr="00AB1DE0">
        <w:rPr>
          <w:rFonts w:ascii="Nanum Myeongjo" w:eastAsia="Nanum Myeongjo" w:hAnsi="Nanum Myeongjo" w:cs="Nanum Myeongjo"/>
          <w:sz w:val="24"/>
          <w:szCs w:val="24"/>
        </w:rPr>
        <w:t xml:space="preserve"> </w:t>
      </w:r>
      <w:proofErr w:type="gramStart"/>
      <w:r w:rsidR="00AB1DE0" w:rsidRPr="00AB1DE0">
        <w:rPr>
          <w:rFonts w:ascii="Nanum Myeongjo" w:eastAsia="Nanum Myeongjo" w:hAnsi="Nanum Myeongjo" w:cs="Nanum Myeongjo"/>
          <w:sz w:val="24"/>
          <w:szCs w:val="24"/>
        </w:rPr>
        <w:t xml:space="preserve">and </w:t>
      </w:r>
      <w:r w:rsidR="00811BA0" w:rsidRPr="00AB1DE0">
        <w:rPr>
          <w:rFonts w:ascii="Nanum Myeongjo" w:eastAsia="Nanum Myeongjo" w:hAnsi="Nanum Myeongjo" w:cs="Nanum Myeongjo"/>
          <w:sz w:val="24"/>
          <w:szCs w:val="24"/>
        </w:rPr>
        <w:t>also</w:t>
      </w:r>
      <w:proofErr w:type="gramEnd"/>
      <w:r w:rsidR="00811BA0" w:rsidRPr="00AB1DE0">
        <w:rPr>
          <w:rFonts w:ascii="Nanum Myeongjo" w:eastAsia="Nanum Myeongjo" w:hAnsi="Nanum Myeongjo" w:cs="Nanum Myeongjo"/>
          <w:sz w:val="24"/>
          <w:szCs w:val="24"/>
        </w:rPr>
        <w:t xml:space="preserve"> to rectify existing</w:t>
      </w:r>
      <w:r w:rsidR="00AB1DE0" w:rsidRPr="00AB1DE0">
        <w:rPr>
          <w:rFonts w:ascii="Nanum Myeongjo" w:eastAsia="Nanum Myeongjo" w:hAnsi="Nanum Myeongjo" w:cs="Nanum Myeongjo"/>
          <w:sz w:val="24"/>
          <w:szCs w:val="24"/>
        </w:rPr>
        <w:t xml:space="preserve"> policies and</w:t>
      </w:r>
      <w:r w:rsidR="00811BA0" w:rsidRPr="00AB1DE0">
        <w:rPr>
          <w:rFonts w:ascii="Nanum Myeongjo" w:eastAsia="Nanum Myeongjo" w:hAnsi="Nanum Myeongjo" w:cs="Nanum Myeongjo"/>
          <w:sz w:val="24"/>
          <w:szCs w:val="24"/>
        </w:rPr>
        <w:t xml:space="preserve"> processes that created inequities for students of color</w:t>
      </w:r>
      <w:r w:rsidR="002640A0">
        <w:rPr>
          <w:rFonts w:ascii="Nanum Myeongjo" w:eastAsia="Nanum Myeongjo" w:hAnsi="Nanum Myeongjo" w:cs="Nanum Myeongjo"/>
          <w:sz w:val="24"/>
          <w:szCs w:val="24"/>
        </w:rPr>
        <w:t xml:space="preserve"> and underrepresented</w:t>
      </w:r>
      <w:r w:rsidR="00811BA0" w:rsidRPr="00AB1DE0">
        <w:rPr>
          <w:rFonts w:ascii="Nanum Myeongjo" w:eastAsia="Nanum Myeongjo" w:hAnsi="Nanum Myeongjo" w:cs="Nanum Myeongjo"/>
          <w:sz w:val="24"/>
          <w:szCs w:val="24"/>
        </w:rPr>
        <w:t xml:space="preserve"> populations </w:t>
      </w:r>
      <w:r w:rsidRPr="00AB1DE0">
        <w:rPr>
          <w:rFonts w:ascii="Nanum Myeongjo" w:eastAsia="Nanum Myeongjo" w:hAnsi="Nanum Myeongjo" w:cs="Nanum Myeongjo"/>
          <w:sz w:val="24"/>
          <w:szCs w:val="24"/>
        </w:rPr>
        <w:t>(AB 705, Section 1 [3])</w:t>
      </w:r>
      <w:r w:rsidR="00811BA0" w:rsidRPr="00AB1DE0">
        <w:rPr>
          <w:rFonts w:ascii="Nanum Myeongjo" w:eastAsia="Nanum Myeongjo" w:hAnsi="Nanum Myeongjo" w:cs="Nanum Myeongjo"/>
          <w:sz w:val="24"/>
          <w:szCs w:val="24"/>
        </w:rPr>
        <w:t>.</w:t>
      </w:r>
      <w:r w:rsidR="00AB1DE0" w:rsidRPr="00AB1DE0">
        <w:rPr>
          <w:rFonts w:ascii="Nanum Myeongjo" w:eastAsia="Nanum Myeongjo" w:hAnsi="Nanum Myeongjo" w:cs="Nanum Myeongjo"/>
          <w:sz w:val="24"/>
          <w:szCs w:val="24"/>
        </w:rPr>
        <w:t xml:space="preserve"> </w:t>
      </w:r>
      <w:r w:rsidR="00AB1DE0" w:rsidRPr="00AB1DE0">
        <w:rPr>
          <w:rFonts w:ascii="Times New Roman" w:hAnsi="Times New Roman" w:cs="Times New Roman"/>
          <w:sz w:val="24"/>
          <w:szCs w:val="24"/>
        </w:rPr>
        <w:t>_____Initial</w:t>
      </w:r>
    </w:p>
    <w:p w14:paraId="38D88C8D" w14:textId="6694DF14" w:rsidR="00811BA0" w:rsidRPr="00AB1DE0" w:rsidRDefault="00811BA0" w:rsidP="00AB1DE0">
      <w:pPr>
        <w:spacing w:line="240" w:lineRule="auto"/>
        <w:contextualSpacing w:val="0"/>
        <w:jc w:val="both"/>
        <w:rPr>
          <w:rFonts w:ascii="Nanum Myeongjo" w:eastAsia="Nanum Myeongjo" w:hAnsi="Nanum Myeongjo" w:cs="Nanum Myeongjo"/>
          <w:sz w:val="24"/>
          <w:szCs w:val="24"/>
        </w:rPr>
      </w:pPr>
    </w:p>
    <w:p w14:paraId="0C9316D3" w14:textId="46F2779D" w:rsidR="00AB1DE0" w:rsidRPr="00AB1DE0" w:rsidRDefault="00811BA0" w:rsidP="00AB1DE0">
      <w:pPr>
        <w:spacing w:line="240" w:lineRule="auto"/>
        <w:rPr>
          <w:rFonts w:ascii="Times New Roman" w:hAnsi="Times New Roman" w:cs="Times New Roman"/>
          <w:sz w:val="24"/>
          <w:szCs w:val="24"/>
        </w:rPr>
      </w:pPr>
      <w:r w:rsidRPr="00AB1DE0">
        <w:rPr>
          <w:rFonts w:ascii="Nanum Myeongjo" w:eastAsia="Nanum Myeongjo" w:hAnsi="Nanum Myeongjo" w:cs="Nanum Myeongjo"/>
          <w:sz w:val="24"/>
          <w:szCs w:val="24"/>
        </w:rPr>
        <w:t xml:space="preserve">For most students at </w:t>
      </w:r>
      <w:r w:rsidRPr="00AB1DE0">
        <w:rPr>
          <w:rFonts w:ascii="Nanum Myeongjo" w:eastAsia="Nanum Myeongjo" w:hAnsi="Nanum Myeongjo" w:cs="Nanum Myeongjo"/>
          <w:sz w:val="24"/>
          <w:szCs w:val="24"/>
          <w:u w:val="single"/>
        </w:rPr>
        <w:t>all GPA levels</w:t>
      </w:r>
      <w:r w:rsidRPr="00AB1DE0">
        <w:rPr>
          <w:rFonts w:ascii="Nanum Myeongjo" w:eastAsia="Nanum Myeongjo" w:hAnsi="Nanum Myeongjo" w:cs="Nanum Myeongjo"/>
          <w:sz w:val="24"/>
          <w:szCs w:val="24"/>
        </w:rPr>
        <w:t xml:space="preserve">, research shows that students enrolling directly into transfer- level math courses are more likely to pass the transfer level course than students who take a remedial math course prior to taking the transfer-level course. Because the research shows that the transfer-level course is the most likely pathway to success, </w:t>
      </w:r>
      <w:r w:rsidR="00AB1DE0" w:rsidRPr="00AB1DE0">
        <w:rPr>
          <w:rFonts w:ascii="Nanum Myeongjo" w:eastAsia="Nanum Myeongjo" w:hAnsi="Nanum Myeongjo" w:cs="Nanum Myeongjo"/>
          <w:sz w:val="24"/>
          <w:szCs w:val="24"/>
        </w:rPr>
        <w:t>Assembly Bill 705</w:t>
      </w:r>
      <w:r w:rsidRPr="00AB1DE0">
        <w:rPr>
          <w:rFonts w:ascii="Nanum Myeongjo" w:eastAsia="Nanum Myeongjo" w:hAnsi="Nanum Myeongjo" w:cs="Nanum Myeongjo"/>
          <w:sz w:val="24"/>
          <w:szCs w:val="24"/>
        </w:rPr>
        <w:t xml:space="preserve"> instruct</w:t>
      </w:r>
      <w:r w:rsidR="00AB1DE0" w:rsidRPr="00AB1DE0">
        <w:rPr>
          <w:rFonts w:ascii="Nanum Myeongjo" w:eastAsia="Nanum Myeongjo" w:hAnsi="Nanum Myeongjo" w:cs="Nanum Myeongjo"/>
          <w:sz w:val="24"/>
          <w:szCs w:val="24"/>
        </w:rPr>
        <w:t>s</w:t>
      </w:r>
      <w:r w:rsidRPr="00AB1DE0">
        <w:rPr>
          <w:rFonts w:ascii="Nanum Myeongjo" w:eastAsia="Nanum Myeongjo" w:hAnsi="Nanum Myeongjo" w:cs="Nanum Myeongjo"/>
          <w:sz w:val="24"/>
          <w:szCs w:val="24"/>
        </w:rPr>
        <w:t xml:space="preserve"> colleges to maximize placement into transfer-level coursework (AB 705, Section 1; Ed Code 78213)</w:t>
      </w:r>
      <w:r w:rsidR="00AB1DE0">
        <w:rPr>
          <w:rFonts w:ascii="Nanum Myeongjo" w:eastAsia="Nanum Myeongjo" w:hAnsi="Nanum Myeongjo" w:cs="Nanum Myeongjo"/>
          <w:sz w:val="24"/>
          <w:szCs w:val="24"/>
        </w:rPr>
        <w:t xml:space="preserve"> </w:t>
      </w:r>
      <w:bookmarkEnd w:id="0"/>
      <w:r w:rsidR="00AB1DE0">
        <w:rPr>
          <w:rFonts w:ascii="Nanum Myeongjo" w:eastAsia="Nanum Myeongjo" w:hAnsi="Nanum Myeongjo" w:cs="Nanum Myeongjo"/>
          <w:sz w:val="24"/>
          <w:szCs w:val="24"/>
        </w:rPr>
        <w:t>___</w:t>
      </w:r>
      <w:r w:rsidR="00AB1DE0" w:rsidRPr="00AB1DE0">
        <w:rPr>
          <w:rFonts w:ascii="Times New Roman" w:hAnsi="Times New Roman" w:cs="Times New Roman"/>
          <w:sz w:val="24"/>
          <w:szCs w:val="24"/>
        </w:rPr>
        <w:t>_Initial</w:t>
      </w:r>
    </w:p>
    <w:p w14:paraId="3B8FCD9E" w14:textId="77777777" w:rsidR="003730B7" w:rsidRPr="00AB1DE0" w:rsidRDefault="003730B7" w:rsidP="00AB1DE0">
      <w:pPr>
        <w:spacing w:line="240" w:lineRule="auto"/>
        <w:contextualSpacing w:val="0"/>
        <w:jc w:val="both"/>
        <w:rPr>
          <w:rFonts w:ascii="Nanum Myeongjo" w:eastAsia="Nanum Myeongjo" w:hAnsi="Nanum Myeongjo" w:cs="Nanum Myeongjo"/>
          <w:sz w:val="24"/>
          <w:szCs w:val="24"/>
        </w:rPr>
      </w:pPr>
    </w:p>
    <w:p w14:paraId="16CFF287" w14:textId="1E1AD178" w:rsidR="003730B7" w:rsidRPr="00AB1DE0" w:rsidRDefault="003730B7" w:rsidP="00AB1DE0">
      <w:pPr>
        <w:spacing w:line="240" w:lineRule="auto"/>
        <w:contextualSpacing w:val="0"/>
        <w:jc w:val="both"/>
        <w:rPr>
          <w:rFonts w:ascii="Nanum Myeongjo" w:eastAsia="Nanum Myeongjo" w:hAnsi="Nanum Myeongjo" w:cs="Nanum Myeongjo"/>
          <w:sz w:val="24"/>
          <w:szCs w:val="24"/>
        </w:rPr>
      </w:pPr>
      <w:bookmarkStart w:id="1" w:name="_Hlk535848390"/>
      <w:r w:rsidRPr="00AB1DE0">
        <w:rPr>
          <w:rFonts w:ascii="Nanum Myeongjo" w:eastAsia="Nanum Myeongjo" w:hAnsi="Nanum Myeongjo" w:cs="Nanum Myeongjo"/>
          <w:sz w:val="24"/>
          <w:szCs w:val="24"/>
        </w:rPr>
        <w:t>We understand that enrolling in a transfer-level course may cause you to worry that the course will be challenging and that you may not feel ready for that challenge. However, we believe in your ability to be successful, and we offer many options for support while you are taking the transfer-level course</w:t>
      </w:r>
      <w:bookmarkEnd w:id="1"/>
      <w:r w:rsidR="00414753" w:rsidRPr="00AB1DE0">
        <w:rPr>
          <w:rFonts w:ascii="Nanum Myeongjo" w:eastAsia="Nanum Myeongjo" w:hAnsi="Nanum Myeongjo" w:cs="Nanum Myeongjo"/>
          <w:sz w:val="24"/>
          <w:szCs w:val="24"/>
        </w:rPr>
        <w:t xml:space="preserve">. Your counselor or advisor would love to work with you to find the right course and support options for your goals. </w:t>
      </w:r>
      <w:r w:rsidR="00AB1DE0" w:rsidRPr="00AB1DE0">
        <w:rPr>
          <w:rFonts w:ascii="Times New Roman" w:hAnsi="Times New Roman" w:cs="Times New Roman"/>
          <w:sz w:val="24"/>
          <w:szCs w:val="24"/>
        </w:rPr>
        <w:t>_____Initial</w:t>
      </w:r>
    </w:p>
    <w:p w14:paraId="245E687C" w14:textId="77777777" w:rsidR="003730B7" w:rsidRPr="00AB1DE0" w:rsidRDefault="003730B7" w:rsidP="003730B7">
      <w:pPr>
        <w:contextualSpacing w:val="0"/>
        <w:rPr>
          <w:rFonts w:ascii="Nanum Myeongjo" w:eastAsia="Nanum Myeongjo" w:hAnsi="Nanum Myeongjo" w:cs="Nanum Myeongjo"/>
          <w:sz w:val="24"/>
          <w:szCs w:val="24"/>
        </w:rPr>
      </w:pPr>
    </w:p>
    <w:p w14:paraId="7EE55D39" w14:textId="1541D9F3" w:rsidR="00414753" w:rsidRPr="00AB1DE0" w:rsidRDefault="00414753" w:rsidP="00AB1DE0">
      <w:pPr>
        <w:spacing w:line="240" w:lineRule="auto"/>
        <w:contextualSpacing w:val="0"/>
        <w:rPr>
          <w:rFonts w:ascii="Nanum Myeongjo" w:eastAsia="Nanum Myeongjo" w:hAnsi="Nanum Myeongjo" w:cs="Nanum Myeongjo"/>
          <w:sz w:val="24"/>
          <w:szCs w:val="24"/>
        </w:rPr>
      </w:pPr>
      <w:r w:rsidRPr="00AB1DE0">
        <w:rPr>
          <w:rFonts w:ascii="Nanum Myeongjo" w:eastAsia="Nanum Myeongjo" w:hAnsi="Nanum Myeongjo" w:cs="Nanum Myeongjo"/>
          <w:sz w:val="24"/>
          <w:szCs w:val="24"/>
        </w:rPr>
        <w:t>If after</w:t>
      </w:r>
      <w:r w:rsidR="003730B7" w:rsidRPr="00AB1DE0">
        <w:rPr>
          <w:rFonts w:ascii="Nanum Myeongjo" w:eastAsia="Nanum Myeongjo" w:hAnsi="Nanum Myeongjo" w:cs="Nanum Myeongjo"/>
          <w:sz w:val="24"/>
          <w:szCs w:val="24"/>
        </w:rPr>
        <w:t xml:space="preserve"> reading this you are still committed to taking a below transfer-level course, please tell us more about your decision so that we might support you and other students better in the future. Which of the factors below have contributed to your decision to take a below transfer-level course</w:t>
      </w:r>
      <w:r w:rsidRPr="00AB1DE0">
        <w:rPr>
          <w:rFonts w:ascii="Nanum Myeongjo" w:eastAsia="Nanum Myeongjo" w:hAnsi="Nanum Myeongjo" w:cs="Nanum Myeongjo"/>
          <w:sz w:val="24"/>
          <w:szCs w:val="24"/>
        </w:rPr>
        <w:t>?</w:t>
      </w:r>
    </w:p>
    <w:p w14:paraId="576CAE7A" w14:textId="77777777" w:rsidR="002640A0" w:rsidRDefault="002640A0" w:rsidP="00AB1DE0">
      <w:pPr>
        <w:spacing w:line="240" w:lineRule="auto"/>
        <w:contextualSpacing w:val="0"/>
        <w:jc w:val="center"/>
        <w:rPr>
          <w:rFonts w:ascii="Nanum Myeongjo" w:eastAsia="Nanum Myeongjo" w:hAnsi="Nanum Myeongjo" w:cs="Nanum Myeongjo"/>
          <w:sz w:val="24"/>
          <w:szCs w:val="24"/>
        </w:rPr>
      </w:pPr>
    </w:p>
    <w:p w14:paraId="61B0AABB" w14:textId="076561FC" w:rsidR="003730B7" w:rsidRDefault="003730B7" w:rsidP="00AB1DE0">
      <w:pPr>
        <w:spacing w:line="240" w:lineRule="auto"/>
        <w:contextualSpacing w:val="0"/>
        <w:jc w:val="center"/>
        <w:rPr>
          <w:rFonts w:ascii="Nanum Myeongjo" w:eastAsia="Nanum Myeongjo" w:hAnsi="Nanum Myeongjo" w:cs="Nanum Myeongjo"/>
          <w:sz w:val="24"/>
          <w:szCs w:val="24"/>
        </w:rPr>
      </w:pPr>
      <w:r>
        <w:rPr>
          <w:rFonts w:ascii="Nanum Myeongjo" w:eastAsia="Nanum Myeongjo" w:hAnsi="Nanum Myeongjo" w:cs="Nanum Myeongjo"/>
          <w:sz w:val="24"/>
          <w:szCs w:val="24"/>
        </w:rPr>
        <w:t>Please check all that apply:</w:t>
      </w:r>
    </w:p>
    <w:p w14:paraId="5192B242"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Trusted friend or family member recommended that I take the below transfer-level course</w:t>
      </w:r>
    </w:p>
    <w:p w14:paraId="03CD5E2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Faculty or staff member at the college recommended that I take the below transfer-level course</w:t>
      </w:r>
    </w:p>
    <w:p w14:paraId="78A1BF4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A teacher or counselor at my high school said this was the best class to take</w:t>
      </w:r>
    </w:p>
    <w:p w14:paraId="70340113"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about the difficulty of the transfer-level coursework/not passing the transfer-level class</w:t>
      </w:r>
    </w:p>
    <w:p w14:paraId="161A208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about the pace of the transfer-level coursework</w:t>
      </w:r>
    </w:p>
    <w:p w14:paraId="035EA0CE"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is too many units/too much time per week</w:t>
      </w:r>
    </w:p>
    <w:p w14:paraId="604BB66E"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does not work with my schedule</w:t>
      </w:r>
    </w:p>
    <w:p w14:paraId="53A2919F"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been out of school for a long time, and I feel like I might need a refresher</w:t>
      </w:r>
    </w:p>
    <w:p w14:paraId="1EB95DAD"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already attempted the below transfer-level course and need to replace the grade on my transcript</w:t>
      </w:r>
    </w:p>
    <w:p w14:paraId="484B7251"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that another course option will not transfer to a four-year or private university</w:t>
      </w:r>
    </w:p>
    <w:p w14:paraId="11AA6B73" w14:textId="7344D28C" w:rsidR="002640A0" w:rsidRPr="00D417F7" w:rsidRDefault="00414753"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Other: please explain in the space below</w:t>
      </w:r>
      <w:bookmarkStart w:id="2" w:name="_GoBack"/>
      <w:bookmarkEnd w:id="2"/>
    </w:p>
    <w:p w14:paraId="6DEC6660" w14:textId="77777777" w:rsidR="002640A0" w:rsidRDefault="002640A0" w:rsidP="003730B7">
      <w:pPr>
        <w:contextualSpacing w:val="0"/>
        <w:rPr>
          <w:rFonts w:ascii="Nanum Myeongjo" w:eastAsia="Nanum Myeongjo" w:hAnsi="Nanum Myeongjo" w:cs="Nanum Myeongjo"/>
          <w:sz w:val="24"/>
          <w:szCs w:val="24"/>
        </w:rPr>
      </w:pPr>
    </w:p>
    <w:p w14:paraId="16F626A2" w14:textId="7450E6B7" w:rsidR="002640A0" w:rsidRDefault="002640A0"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_______________________________________     ____________________________________</w:t>
      </w:r>
    </w:p>
    <w:p w14:paraId="1052E341" w14:textId="4DE98999"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Name and ID# (</w:t>
      </w:r>
      <w:proofErr w:type="gramStart"/>
      <w:r>
        <w:rPr>
          <w:rFonts w:ascii="Nanum Myeongjo" w:eastAsia="Nanum Myeongjo" w:hAnsi="Nanum Myeongjo" w:cs="Nanum Myeongjo"/>
          <w:sz w:val="24"/>
          <w:szCs w:val="24"/>
        </w:rPr>
        <w:t>print)</w:t>
      </w:r>
      <w:r w:rsidR="00AB1DE0">
        <w:rPr>
          <w:rFonts w:ascii="Nanum Myeongjo" w:eastAsia="Nanum Myeongjo" w:hAnsi="Nanum Myeongjo" w:cs="Nanum Myeongjo"/>
          <w:sz w:val="24"/>
          <w:szCs w:val="24"/>
        </w:rPr>
        <w:t xml:space="preserve">   </w:t>
      </w:r>
      <w:proofErr w:type="gramEnd"/>
      <w:r w:rsidR="00AB1DE0">
        <w:rPr>
          <w:rFonts w:ascii="Nanum Myeongjo" w:eastAsia="Nanum Myeongjo" w:hAnsi="Nanum Myeongjo" w:cs="Nanum Myeongjo"/>
          <w:sz w:val="24"/>
          <w:szCs w:val="24"/>
        </w:rPr>
        <w:t xml:space="preserve">                         </w:t>
      </w:r>
      <w:r w:rsidR="002640A0">
        <w:rPr>
          <w:rFonts w:ascii="Nanum Myeongjo" w:eastAsia="Nanum Myeongjo" w:hAnsi="Nanum Myeongjo" w:cs="Nanum Myeongjo"/>
          <w:sz w:val="24"/>
          <w:szCs w:val="24"/>
        </w:rPr>
        <w:tab/>
      </w:r>
      <w:r w:rsidR="002640A0">
        <w:rPr>
          <w:rFonts w:ascii="Nanum Myeongjo" w:eastAsia="Nanum Myeongjo" w:hAnsi="Nanum Myeongjo" w:cs="Nanum Myeongjo"/>
          <w:sz w:val="24"/>
          <w:szCs w:val="24"/>
        </w:rPr>
        <w:tab/>
        <w:t>Student Signature</w:t>
      </w:r>
    </w:p>
    <w:p w14:paraId="6D6EA399" w14:textId="135082FC" w:rsidR="003730B7" w:rsidRDefault="00AB1DE0"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ab/>
      </w:r>
      <w:r>
        <w:rPr>
          <w:rFonts w:ascii="Nanum Myeongjo" w:eastAsia="Nanum Myeongjo" w:hAnsi="Nanum Myeongjo" w:cs="Nanum Myeongjo"/>
          <w:sz w:val="24"/>
          <w:szCs w:val="24"/>
        </w:rPr>
        <w:tab/>
      </w:r>
      <w:r>
        <w:rPr>
          <w:rFonts w:ascii="Nanum Myeongjo" w:eastAsia="Nanum Myeongjo" w:hAnsi="Nanum Myeongjo" w:cs="Nanum Myeongjo"/>
          <w:sz w:val="24"/>
          <w:szCs w:val="24"/>
        </w:rPr>
        <w:tab/>
      </w:r>
      <w:r>
        <w:rPr>
          <w:rFonts w:ascii="Nanum Myeongjo" w:eastAsia="Nanum Myeongjo" w:hAnsi="Nanum Myeongjo" w:cs="Nanum Myeongjo"/>
          <w:sz w:val="24"/>
          <w:szCs w:val="24"/>
        </w:rPr>
        <w:tab/>
      </w:r>
      <w:r>
        <w:rPr>
          <w:rFonts w:ascii="Nanum Myeongjo" w:eastAsia="Nanum Myeongjo" w:hAnsi="Nanum Myeongjo" w:cs="Nanum Myeongjo"/>
          <w:sz w:val="24"/>
          <w:szCs w:val="24"/>
        </w:rPr>
        <w:tab/>
      </w:r>
      <w:r>
        <w:rPr>
          <w:rFonts w:ascii="Nanum Myeongjo" w:eastAsia="Nanum Myeongjo" w:hAnsi="Nanum Myeongjo" w:cs="Nanum Myeongjo"/>
          <w:sz w:val="24"/>
          <w:szCs w:val="24"/>
        </w:rPr>
        <w:tab/>
      </w:r>
    </w:p>
    <w:p w14:paraId="48871BB8"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7383AAAB" wp14:editId="1D376300">
                <wp:extent cx="2781300" cy="28575"/>
                <wp:effectExtent l="0" t="0" r="0" b="0"/>
                <wp:docPr id="2" name="Straight Arrow Connector 2"/>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19B87791" id="Straight Arrow Connector 2"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fQrbFOMBAADFAwAADgAAAAAAAAAAAAAAAAAuAgAAZHJzL2Uyb0RvYy54bWxQSwECLQAUAAYACAAA&#10;ACEASc5fI9YAAAADAQAADwAAAAAAAAAAAAAAAAA9BAAAZHJzL2Rvd25yZXYueG1sUEsFBgAAAAAE&#10;AAQA8wAAAEAFAAAAAA==&#10;" strokeweight="1.5pt">
                <w10:anchorlock/>
              </v:shape>
            </w:pict>
          </mc:Fallback>
        </mc:AlternateContent>
      </w:r>
    </w:p>
    <w:p w14:paraId="023F347E" w14:textId="69343626"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 xml:space="preserve">Counselor’s Signature and Date </w:t>
      </w:r>
    </w:p>
    <w:p w14:paraId="79C49F94" w14:textId="77777777" w:rsidR="00914FA4" w:rsidRDefault="00914FA4"/>
    <w:sectPr w:rsidR="00914FA4" w:rsidSect="00AB1DE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B5141" w14:textId="77777777" w:rsidR="00D417F7" w:rsidRDefault="00D417F7" w:rsidP="00D417F7">
      <w:pPr>
        <w:spacing w:line="240" w:lineRule="auto"/>
      </w:pPr>
      <w:r>
        <w:separator/>
      </w:r>
    </w:p>
  </w:endnote>
  <w:endnote w:type="continuationSeparator" w:id="0">
    <w:p w14:paraId="1B14447C" w14:textId="77777777" w:rsidR="00D417F7" w:rsidRDefault="00D417F7" w:rsidP="00D41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morant Garamond">
    <w:altName w:val="Times New Roman"/>
    <w:charset w:val="00"/>
    <w:family w:val="auto"/>
    <w:pitch w:val="default"/>
  </w:font>
  <w:font w:name="Nanum Myeongj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D028" w14:textId="77777777" w:rsidR="00D417F7" w:rsidRDefault="00D4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3CD6" w14:textId="77777777" w:rsidR="00D417F7" w:rsidRDefault="00D41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929E" w14:textId="77777777" w:rsidR="00D417F7" w:rsidRDefault="00D41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8066" w14:textId="77777777" w:rsidR="00D417F7" w:rsidRDefault="00D417F7" w:rsidP="00D417F7">
      <w:pPr>
        <w:spacing w:line="240" w:lineRule="auto"/>
      </w:pPr>
      <w:r>
        <w:separator/>
      </w:r>
    </w:p>
  </w:footnote>
  <w:footnote w:type="continuationSeparator" w:id="0">
    <w:p w14:paraId="4707B815" w14:textId="77777777" w:rsidR="00D417F7" w:rsidRDefault="00D417F7" w:rsidP="00D41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C451" w14:textId="77777777" w:rsidR="00D417F7" w:rsidRDefault="00D41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537079"/>
      <w:docPartObj>
        <w:docPartGallery w:val="Watermarks"/>
        <w:docPartUnique/>
      </w:docPartObj>
    </w:sdtPr>
    <w:sdtContent>
      <w:p w14:paraId="35F12225" w14:textId="411A4844" w:rsidR="00D417F7" w:rsidRDefault="00D417F7">
        <w:pPr>
          <w:pStyle w:val="Header"/>
        </w:pPr>
        <w:r>
          <w:rPr>
            <w:noProof/>
          </w:rPr>
          <w:pict w14:anchorId="46718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E534" w14:textId="77777777" w:rsidR="00D417F7" w:rsidRDefault="00D4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51456"/>
    <w:multiLevelType w:val="multilevel"/>
    <w:tmpl w:val="D8EC64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B7"/>
    <w:rsid w:val="002640A0"/>
    <w:rsid w:val="003730B7"/>
    <w:rsid w:val="00414753"/>
    <w:rsid w:val="007B2263"/>
    <w:rsid w:val="00811BA0"/>
    <w:rsid w:val="00914FA4"/>
    <w:rsid w:val="00AB1DE0"/>
    <w:rsid w:val="00B8271D"/>
    <w:rsid w:val="00C873A2"/>
    <w:rsid w:val="00D417F7"/>
    <w:rsid w:val="00F638C0"/>
    <w:rsid w:val="00FD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29881"/>
  <w15:chartTrackingRefBased/>
  <w15:docId w15:val="{698E3EA9-6E59-44B5-B96F-1C747CC8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30B7"/>
    <w:pPr>
      <w:spacing w:line="276" w:lineRule="auto"/>
      <w:contextualSpacing/>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F7"/>
    <w:pPr>
      <w:tabs>
        <w:tab w:val="center" w:pos="4680"/>
        <w:tab w:val="right" w:pos="9360"/>
      </w:tabs>
      <w:spacing w:line="240" w:lineRule="auto"/>
    </w:pPr>
  </w:style>
  <w:style w:type="character" w:customStyle="1" w:styleId="HeaderChar">
    <w:name w:val="Header Char"/>
    <w:basedOn w:val="DefaultParagraphFont"/>
    <w:link w:val="Header"/>
    <w:uiPriority w:val="99"/>
    <w:rsid w:val="00D417F7"/>
    <w:rPr>
      <w:rFonts w:ascii="Arial" w:eastAsia="Arial" w:hAnsi="Arial" w:cs="Arial"/>
      <w:sz w:val="22"/>
      <w:lang w:val="en"/>
    </w:rPr>
  </w:style>
  <w:style w:type="paragraph" w:styleId="Footer">
    <w:name w:val="footer"/>
    <w:basedOn w:val="Normal"/>
    <w:link w:val="FooterChar"/>
    <w:uiPriority w:val="99"/>
    <w:unhideWhenUsed/>
    <w:rsid w:val="00D417F7"/>
    <w:pPr>
      <w:tabs>
        <w:tab w:val="center" w:pos="4680"/>
        <w:tab w:val="right" w:pos="9360"/>
      </w:tabs>
      <w:spacing w:line="240" w:lineRule="auto"/>
    </w:pPr>
  </w:style>
  <w:style w:type="character" w:customStyle="1" w:styleId="FooterChar">
    <w:name w:val="Footer Char"/>
    <w:basedOn w:val="DefaultParagraphFont"/>
    <w:link w:val="Footer"/>
    <w:uiPriority w:val="99"/>
    <w:rsid w:val="00D417F7"/>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BryantLescher, Nicole</dc:creator>
  <cp:keywords/>
  <dc:description/>
  <cp:lastModifiedBy>Bryant Lescher</cp:lastModifiedBy>
  <cp:revision>3</cp:revision>
  <dcterms:created xsi:type="dcterms:W3CDTF">2019-01-22T00:33:00Z</dcterms:created>
  <dcterms:modified xsi:type="dcterms:W3CDTF">2019-02-11T23:35:00Z</dcterms:modified>
</cp:coreProperties>
</file>