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C8" w:rsidRDefault="006D1B44" w:rsidP="006D1B44">
      <w:pPr>
        <w:jc w:val="center"/>
      </w:pPr>
      <w:r>
        <w:rPr>
          <w:noProof/>
        </w:rPr>
        <w:drawing>
          <wp:inline distT="0" distB="0" distL="0" distR="0" wp14:anchorId="14F45E3D" wp14:editId="7DCFFA1C">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760997" cy="455106"/>
                    </a:xfrm>
                    <a:prstGeom prst="rect">
                      <a:avLst/>
                    </a:prstGeom>
                  </pic:spPr>
                </pic:pic>
              </a:graphicData>
            </a:graphic>
          </wp:inline>
        </w:drawing>
      </w:r>
    </w:p>
    <w:p w:rsidR="004A788B" w:rsidRPr="00BB3606" w:rsidRDefault="00A3308E" w:rsidP="004A788B">
      <w:pPr>
        <w:pBdr>
          <w:top w:val="single" w:sz="12" w:space="1" w:color="auto"/>
          <w:bottom w:val="single" w:sz="12" w:space="1" w:color="auto"/>
        </w:pBdr>
        <w:jc w:val="center"/>
        <w:rPr>
          <w:rFonts w:ascii="Adobe Devanagari" w:hAnsi="Adobe Devanagari" w:cs="Adobe Devanagari"/>
          <w:b/>
          <w:sz w:val="24"/>
        </w:rPr>
      </w:pPr>
      <w:r>
        <w:rPr>
          <w:rFonts w:ascii="Adobe Devanagari" w:hAnsi="Adobe Devanagari" w:cs="Adobe Devanagari"/>
          <w:b/>
          <w:sz w:val="24"/>
        </w:rPr>
        <w:t>Guided Pathways Committee</w:t>
      </w:r>
    </w:p>
    <w:p w:rsidR="0009701C" w:rsidRPr="00BB3606" w:rsidRDefault="000C1C15" w:rsidP="00BB73FD">
      <w:pPr>
        <w:spacing w:after="0" w:line="240" w:lineRule="auto"/>
        <w:jc w:val="center"/>
        <w:rPr>
          <w:rFonts w:ascii="Adobe Devanagari" w:hAnsi="Adobe Devanagari" w:cs="Adobe Devanagari"/>
          <w:sz w:val="24"/>
        </w:rPr>
      </w:pPr>
      <w:r>
        <w:rPr>
          <w:rFonts w:ascii="Adobe Devanagari" w:hAnsi="Adobe Devanagari" w:cs="Adobe Devanagari"/>
          <w:sz w:val="24"/>
        </w:rPr>
        <w:t>November 12</w:t>
      </w:r>
      <w:r w:rsidR="00176A66">
        <w:rPr>
          <w:rFonts w:ascii="Adobe Devanagari" w:hAnsi="Adobe Devanagari" w:cs="Adobe Devanagari"/>
          <w:sz w:val="24"/>
        </w:rPr>
        <w:t>, 2019</w:t>
      </w:r>
    </w:p>
    <w:p w:rsidR="00BB73FD" w:rsidRPr="00BB3606" w:rsidRDefault="00176A66" w:rsidP="00BB73FD">
      <w:pPr>
        <w:spacing w:after="0" w:line="240" w:lineRule="auto"/>
        <w:jc w:val="center"/>
        <w:rPr>
          <w:rFonts w:ascii="Adobe Devanagari" w:hAnsi="Adobe Devanagari" w:cs="Adobe Devanagari"/>
          <w:sz w:val="24"/>
        </w:rPr>
      </w:pPr>
      <w:r>
        <w:rPr>
          <w:rFonts w:ascii="Adobe Devanagari" w:hAnsi="Adobe Devanagari" w:cs="Adobe Devanagari"/>
          <w:sz w:val="24"/>
        </w:rPr>
        <w:t>3</w:t>
      </w:r>
      <w:r w:rsidR="00E925AB">
        <w:rPr>
          <w:rFonts w:ascii="Adobe Devanagari" w:hAnsi="Adobe Devanagari" w:cs="Adobe Devanagari"/>
          <w:sz w:val="24"/>
        </w:rPr>
        <w:t>:00</w:t>
      </w:r>
      <w:r>
        <w:rPr>
          <w:rFonts w:ascii="Adobe Devanagari" w:hAnsi="Adobe Devanagari" w:cs="Adobe Devanagari"/>
          <w:sz w:val="24"/>
        </w:rPr>
        <w:t xml:space="preserve"> </w:t>
      </w:r>
      <w:r w:rsidR="00E925AB">
        <w:rPr>
          <w:rFonts w:ascii="Adobe Devanagari" w:hAnsi="Adobe Devanagari" w:cs="Adobe Devanagari"/>
          <w:sz w:val="24"/>
        </w:rPr>
        <w:t>–</w:t>
      </w:r>
      <w:r>
        <w:rPr>
          <w:rFonts w:ascii="Adobe Devanagari" w:hAnsi="Adobe Devanagari" w:cs="Adobe Devanagari"/>
          <w:sz w:val="24"/>
        </w:rPr>
        <w:t xml:space="preserve"> 4</w:t>
      </w:r>
      <w:r w:rsidR="00E925AB">
        <w:rPr>
          <w:rFonts w:ascii="Adobe Devanagari" w:hAnsi="Adobe Devanagari" w:cs="Adobe Devanagari"/>
          <w:sz w:val="24"/>
        </w:rPr>
        <w:t>:00</w:t>
      </w:r>
      <w:r w:rsidR="00F412E4">
        <w:rPr>
          <w:rFonts w:ascii="Adobe Devanagari" w:hAnsi="Adobe Devanagari" w:cs="Adobe Devanagari"/>
          <w:sz w:val="24"/>
        </w:rPr>
        <w:t xml:space="preserve"> pm</w:t>
      </w:r>
      <w:r w:rsidR="00BB73FD" w:rsidRPr="00BB3606">
        <w:rPr>
          <w:rFonts w:ascii="Adobe Devanagari" w:hAnsi="Adobe Devanagari" w:cs="Adobe Devanagari"/>
          <w:sz w:val="24"/>
        </w:rPr>
        <w:br/>
      </w:r>
      <w:r>
        <w:rPr>
          <w:rFonts w:ascii="Adobe Devanagari" w:hAnsi="Adobe Devanagari" w:cs="Adobe Devanagari"/>
          <w:sz w:val="24"/>
        </w:rPr>
        <w:t>FM - 107</w:t>
      </w:r>
    </w:p>
    <w:p w:rsidR="0009701C" w:rsidRDefault="00C03420" w:rsidP="000C1C15">
      <w:pPr>
        <w:jc w:val="center"/>
        <w:rPr>
          <w:rFonts w:ascii="Adobe Devanagari" w:hAnsi="Adobe Devanagari" w:cs="Adobe Devanagari"/>
          <w:b/>
          <w:sz w:val="24"/>
        </w:rPr>
      </w:pPr>
      <w:r>
        <w:rPr>
          <w:rFonts w:ascii="Adobe Devanagari" w:hAnsi="Adobe Devanagari" w:cs="Adobe Devanagari"/>
          <w:b/>
          <w:sz w:val="24"/>
        </w:rPr>
        <w:t>Notes</w:t>
      </w:r>
    </w:p>
    <w:p w:rsidR="00C03420" w:rsidRPr="00C03420" w:rsidRDefault="00C03420" w:rsidP="00C03420">
      <w:pPr>
        <w:rPr>
          <w:rFonts w:ascii="Adobe Devanagari" w:hAnsi="Adobe Devanagari" w:cs="Adobe Devanagari"/>
          <w:sz w:val="24"/>
        </w:rPr>
      </w:pPr>
      <w:r>
        <w:rPr>
          <w:rFonts w:ascii="Adobe Devanagari" w:hAnsi="Adobe Devanagari" w:cs="Adobe Devanagari"/>
          <w:b/>
          <w:sz w:val="24"/>
        </w:rPr>
        <w:t>Participants:</w:t>
      </w:r>
      <w:r>
        <w:rPr>
          <w:rFonts w:ascii="Adobe Devanagari" w:hAnsi="Adobe Devanagari" w:cs="Adobe Devanagari"/>
          <w:sz w:val="24"/>
        </w:rPr>
        <w:t xml:space="preserve"> Angelina Hill, George Potamianos, Nicole Bryant </w:t>
      </w:r>
      <w:proofErr w:type="spellStart"/>
      <w:r>
        <w:rPr>
          <w:rFonts w:ascii="Adobe Devanagari" w:hAnsi="Adobe Devanagari" w:cs="Adobe Devanagari"/>
          <w:sz w:val="24"/>
        </w:rPr>
        <w:t>Lescher</w:t>
      </w:r>
      <w:proofErr w:type="spellEnd"/>
      <w:r>
        <w:rPr>
          <w:rFonts w:ascii="Adobe Devanagari" w:hAnsi="Adobe Devanagari" w:cs="Adobe Devanagari"/>
          <w:sz w:val="24"/>
        </w:rPr>
        <w:t xml:space="preserve">, </w:t>
      </w:r>
      <w:r w:rsidR="0089555D">
        <w:rPr>
          <w:rFonts w:ascii="Adobe Devanagari" w:hAnsi="Adobe Devanagari" w:cs="Adobe Devanagari"/>
          <w:sz w:val="24"/>
        </w:rPr>
        <w:t xml:space="preserve">Joe Hash, Matt McCann, </w:t>
      </w:r>
      <w:r>
        <w:rPr>
          <w:rFonts w:ascii="Adobe Devanagari" w:hAnsi="Adobe Devanagari" w:cs="Adobe Devanagari"/>
          <w:sz w:val="24"/>
        </w:rPr>
        <w:t xml:space="preserve">Amber </w:t>
      </w:r>
      <w:proofErr w:type="spellStart"/>
      <w:r>
        <w:rPr>
          <w:rFonts w:ascii="Adobe Devanagari" w:hAnsi="Adobe Devanagari" w:cs="Adobe Devanagari"/>
          <w:sz w:val="24"/>
        </w:rPr>
        <w:t>Buntin</w:t>
      </w:r>
      <w:proofErr w:type="spellEnd"/>
      <w:r>
        <w:rPr>
          <w:rFonts w:ascii="Adobe Devanagari" w:hAnsi="Adobe Devanagari" w:cs="Adobe Devanagari"/>
          <w:sz w:val="24"/>
        </w:rPr>
        <w:t xml:space="preserve">, Stephanie </w:t>
      </w:r>
      <w:proofErr w:type="spellStart"/>
      <w:r>
        <w:rPr>
          <w:rFonts w:ascii="Adobe Devanagari" w:hAnsi="Adobe Devanagari" w:cs="Adobe Devanagari"/>
          <w:sz w:val="24"/>
        </w:rPr>
        <w:t>Burres</w:t>
      </w:r>
      <w:proofErr w:type="spellEnd"/>
      <w:r>
        <w:rPr>
          <w:rFonts w:ascii="Adobe Devanagari" w:hAnsi="Adobe Devanagari" w:cs="Adobe Devanagari"/>
          <w:sz w:val="24"/>
        </w:rPr>
        <w:t xml:space="preserve"> (support)</w:t>
      </w:r>
    </w:p>
    <w:tbl>
      <w:tblPr>
        <w:tblStyle w:val="TableGrid"/>
        <w:tblW w:w="8995" w:type="dxa"/>
        <w:tblLook w:val="04A0" w:firstRow="1" w:lastRow="0" w:firstColumn="1" w:lastColumn="0" w:noHBand="0" w:noVBand="1"/>
      </w:tblPr>
      <w:tblGrid>
        <w:gridCol w:w="535"/>
        <w:gridCol w:w="2070"/>
        <w:gridCol w:w="6390"/>
      </w:tblGrid>
      <w:tr w:rsidR="00C03420" w:rsidRPr="0009701C" w:rsidTr="0031752E">
        <w:trPr>
          <w:trHeight w:val="322"/>
        </w:trPr>
        <w:tc>
          <w:tcPr>
            <w:tcW w:w="535" w:type="dxa"/>
          </w:tcPr>
          <w:p w:rsidR="00C03420" w:rsidRPr="0009701C" w:rsidRDefault="00C03420" w:rsidP="0009701C">
            <w:pPr>
              <w:spacing w:after="120"/>
              <w:rPr>
                <w:rFonts w:ascii="Adobe Devanagari" w:hAnsi="Adobe Devanagari" w:cs="Adobe Devanagari"/>
                <w:sz w:val="24"/>
              </w:rPr>
            </w:pPr>
            <w:r w:rsidRPr="0009701C">
              <w:rPr>
                <w:rFonts w:ascii="Adobe Devanagari" w:hAnsi="Adobe Devanagari" w:cs="Adobe Devanagari"/>
                <w:sz w:val="24"/>
              </w:rPr>
              <w:t>1.0</w:t>
            </w:r>
          </w:p>
        </w:tc>
        <w:tc>
          <w:tcPr>
            <w:tcW w:w="2070" w:type="dxa"/>
          </w:tcPr>
          <w:p w:rsidR="00C03420" w:rsidRPr="0009701C" w:rsidRDefault="00C03420" w:rsidP="0009701C">
            <w:pPr>
              <w:spacing w:after="120"/>
              <w:rPr>
                <w:rFonts w:ascii="Adobe Devanagari" w:hAnsi="Adobe Devanagari" w:cs="Adobe Devanagari"/>
                <w:sz w:val="24"/>
              </w:rPr>
            </w:pPr>
            <w:r>
              <w:rPr>
                <w:rFonts w:ascii="Adobe Devanagari" w:hAnsi="Adobe Devanagari" w:cs="Adobe Devanagari"/>
                <w:sz w:val="24"/>
              </w:rPr>
              <w:t>Scale of Self-Adoption - status of areas with ‘next steps’</w:t>
            </w:r>
          </w:p>
        </w:tc>
        <w:tc>
          <w:tcPr>
            <w:tcW w:w="6390" w:type="dxa"/>
          </w:tcPr>
          <w:p w:rsidR="00C03420" w:rsidRDefault="00E25260" w:rsidP="00C03420">
            <w:pPr>
              <w:pStyle w:val="ListParagraph"/>
              <w:numPr>
                <w:ilvl w:val="0"/>
                <w:numId w:val="17"/>
              </w:numPr>
              <w:spacing w:after="120"/>
              <w:rPr>
                <w:rFonts w:ascii="Adobe Devanagari" w:hAnsi="Adobe Devanagari" w:cs="Adobe Devanagari"/>
                <w:sz w:val="24"/>
              </w:rPr>
            </w:pPr>
            <w:r>
              <w:rPr>
                <w:rFonts w:ascii="Adobe Devanagari" w:hAnsi="Adobe Devanagari" w:cs="Adobe Devanagari"/>
                <w:sz w:val="24"/>
              </w:rPr>
              <w:t>Because our Guided Pathways coordinators are unable to attend today we will look at the items on the adoption scale that impact those who are able to attend today.</w:t>
            </w:r>
          </w:p>
          <w:p w:rsidR="00D9329D" w:rsidRDefault="0089555D" w:rsidP="007D6CFC">
            <w:pPr>
              <w:pStyle w:val="ListParagraph"/>
              <w:numPr>
                <w:ilvl w:val="0"/>
                <w:numId w:val="17"/>
              </w:numPr>
              <w:spacing w:after="120"/>
              <w:rPr>
                <w:rFonts w:ascii="Adobe Devanagari" w:hAnsi="Adobe Devanagari" w:cs="Adobe Devanagari"/>
                <w:sz w:val="24"/>
              </w:rPr>
            </w:pPr>
            <w:r>
              <w:rPr>
                <w:rFonts w:ascii="Adobe Devanagari" w:hAnsi="Adobe Devanagari" w:cs="Adobe Devanagari"/>
                <w:sz w:val="24"/>
              </w:rPr>
              <w:t>We</w:t>
            </w:r>
            <w:r w:rsidR="007D6CFC">
              <w:rPr>
                <w:rFonts w:ascii="Adobe Devanagari" w:hAnsi="Adobe Devanagari" w:cs="Adobe Devanagari"/>
                <w:sz w:val="24"/>
              </w:rPr>
              <w:t xml:space="preserve"> do not have a lot of data on students who are self-placi</w:t>
            </w:r>
            <w:r w:rsidR="00D9329D">
              <w:rPr>
                <w:rFonts w:ascii="Adobe Devanagari" w:hAnsi="Adobe Devanagari" w:cs="Adobe Devanagari"/>
                <w:sz w:val="24"/>
              </w:rPr>
              <w:t>ng into below transfer level. There have</w:t>
            </w:r>
            <w:r>
              <w:rPr>
                <w:rFonts w:ascii="Adobe Devanagari" w:hAnsi="Adobe Devanagari" w:cs="Adobe Devanagari"/>
                <w:sz w:val="24"/>
              </w:rPr>
              <w:t xml:space="preserve"> </w:t>
            </w:r>
            <w:r w:rsidR="00D9329D">
              <w:rPr>
                <w:rFonts w:ascii="Adobe Devanagari" w:hAnsi="Adobe Devanagari" w:cs="Adobe Devanagari"/>
                <w:sz w:val="24"/>
              </w:rPr>
              <w:t>only been</w:t>
            </w:r>
            <w:r>
              <w:rPr>
                <w:rFonts w:ascii="Adobe Devanagari" w:hAnsi="Adobe Devanagari" w:cs="Adobe Devanagari"/>
                <w:sz w:val="24"/>
              </w:rPr>
              <w:t xml:space="preserve"> 6 people fill out the informed consent form.</w:t>
            </w:r>
          </w:p>
          <w:p w:rsidR="00E25260" w:rsidRDefault="0089555D" w:rsidP="007D6CFC">
            <w:pPr>
              <w:pStyle w:val="ListParagraph"/>
              <w:numPr>
                <w:ilvl w:val="0"/>
                <w:numId w:val="17"/>
              </w:numPr>
              <w:spacing w:after="120"/>
              <w:rPr>
                <w:rFonts w:ascii="Adobe Devanagari" w:hAnsi="Adobe Devanagari" w:cs="Adobe Devanagari"/>
                <w:sz w:val="24"/>
              </w:rPr>
            </w:pPr>
            <w:r>
              <w:rPr>
                <w:rFonts w:ascii="Adobe Devanagari" w:hAnsi="Adobe Devanagari" w:cs="Adobe Devanagari"/>
                <w:sz w:val="24"/>
              </w:rPr>
              <w:t xml:space="preserve"> </w:t>
            </w:r>
            <w:r w:rsidR="00967F7D">
              <w:rPr>
                <w:rFonts w:ascii="Adobe Devanagari" w:hAnsi="Adobe Devanagari" w:cs="Adobe Devanagari"/>
                <w:sz w:val="24"/>
              </w:rPr>
              <w:t xml:space="preserve">Are we still </w:t>
            </w:r>
            <w:r w:rsidR="00D963B1">
              <w:rPr>
                <w:rFonts w:ascii="Adobe Devanagari" w:hAnsi="Adobe Devanagari" w:cs="Adobe Devanagari"/>
                <w:sz w:val="24"/>
              </w:rPr>
              <w:t xml:space="preserve">calling and </w:t>
            </w:r>
            <w:r w:rsidR="00967F7D">
              <w:rPr>
                <w:rFonts w:ascii="Adobe Devanagari" w:hAnsi="Adobe Devanagari" w:cs="Adobe Devanagari"/>
                <w:sz w:val="24"/>
              </w:rPr>
              <w:t>sending messages to students who have completed at least 30 units checking in on their progress and encouraging them to meet with a counselor to make sure they’</w:t>
            </w:r>
            <w:r w:rsidR="00D963B1">
              <w:rPr>
                <w:rFonts w:ascii="Adobe Devanagari" w:hAnsi="Adobe Devanagari" w:cs="Adobe Devanagari"/>
                <w:sz w:val="24"/>
              </w:rPr>
              <w:t>re on track? Not regularly, staffing shortages have limited the availability or people to reach out. Can we leverage Trio and EOPS counselors to assist with these efforts?</w:t>
            </w:r>
          </w:p>
          <w:p w:rsidR="00D963B1" w:rsidRDefault="006D4354" w:rsidP="007D6CFC">
            <w:pPr>
              <w:pStyle w:val="ListParagraph"/>
              <w:numPr>
                <w:ilvl w:val="0"/>
                <w:numId w:val="17"/>
              </w:numPr>
              <w:spacing w:after="120"/>
              <w:rPr>
                <w:rFonts w:ascii="Adobe Devanagari" w:hAnsi="Adobe Devanagari" w:cs="Adobe Devanagari"/>
                <w:sz w:val="24"/>
              </w:rPr>
            </w:pPr>
            <w:r>
              <w:rPr>
                <w:rFonts w:ascii="Adobe Devanagari" w:hAnsi="Adobe Devanagari" w:cs="Adobe Devanagari"/>
                <w:sz w:val="24"/>
              </w:rPr>
              <w:t xml:space="preserve">Support Classes for course other than English and Math – Bio, </w:t>
            </w:r>
            <w:proofErr w:type="spellStart"/>
            <w:r>
              <w:rPr>
                <w:rFonts w:ascii="Adobe Devanagari" w:hAnsi="Adobe Devanagari" w:cs="Adobe Devanagari"/>
                <w:sz w:val="24"/>
              </w:rPr>
              <w:t>Chem</w:t>
            </w:r>
            <w:proofErr w:type="spellEnd"/>
            <w:r>
              <w:rPr>
                <w:rFonts w:ascii="Adobe Devanagari" w:hAnsi="Adobe Devanagari" w:cs="Adobe Devanagari"/>
                <w:sz w:val="24"/>
              </w:rPr>
              <w:t xml:space="preserve">, Physics? How are we evaluating the effectiveness of support courses? Math will look at this at their annual retreat and statewide data that is available. </w:t>
            </w:r>
          </w:p>
          <w:p w:rsidR="0031752E" w:rsidRPr="00C03420" w:rsidRDefault="0031752E" w:rsidP="007D6CFC">
            <w:pPr>
              <w:pStyle w:val="ListParagraph"/>
              <w:numPr>
                <w:ilvl w:val="0"/>
                <w:numId w:val="17"/>
              </w:numPr>
              <w:spacing w:after="120"/>
              <w:rPr>
                <w:rFonts w:ascii="Adobe Devanagari" w:hAnsi="Adobe Devanagari" w:cs="Adobe Devanagari"/>
                <w:sz w:val="24"/>
              </w:rPr>
            </w:pPr>
            <w:r>
              <w:rPr>
                <w:rFonts w:ascii="Adobe Devanagari" w:hAnsi="Adobe Devanagari" w:cs="Adobe Devanagari"/>
                <w:sz w:val="24"/>
              </w:rPr>
              <w:t>Implement Social Climate Survey</w:t>
            </w:r>
            <w:r w:rsidR="001D078D">
              <w:rPr>
                <w:rFonts w:ascii="Adobe Devanagari" w:hAnsi="Adobe Devanagari" w:cs="Adobe Devanagari"/>
                <w:sz w:val="24"/>
              </w:rPr>
              <w:t xml:space="preserve"> to inform professional development</w:t>
            </w:r>
            <w:r>
              <w:rPr>
                <w:rFonts w:ascii="Adobe Devanagari" w:hAnsi="Adobe Devanagari" w:cs="Adobe Devanagari"/>
                <w:sz w:val="24"/>
              </w:rPr>
              <w:t xml:space="preserve"> – the MDC reviewed several surveys before selecting one. At the time the survey selected was not accepting new applicants and now that it is open again it does not seem appropriate. </w:t>
            </w:r>
            <w:r w:rsidR="001D078D">
              <w:rPr>
                <w:rFonts w:ascii="Adobe Devanagari" w:hAnsi="Adobe Devanagari" w:cs="Adobe Devanagari"/>
                <w:sz w:val="24"/>
              </w:rPr>
              <w:t>Should we write our own climate survey?  Is the Multicultural Center working on a survey of their own? Angelina will reach out to Alia.</w:t>
            </w:r>
          </w:p>
        </w:tc>
      </w:tr>
      <w:tr w:rsidR="00C03420" w:rsidRPr="0009701C" w:rsidTr="0031752E">
        <w:trPr>
          <w:trHeight w:val="322"/>
        </w:trPr>
        <w:tc>
          <w:tcPr>
            <w:tcW w:w="535" w:type="dxa"/>
          </w:tcPr>
          <w:p w:rsidR="00C03420" w:rsidRPr="0009701C" w:rsidRDefault="00C03420" w:rsidP="0009701C">
            <w:pPr>
              <w:spacing w:after="120"/>
              <w:rPr>
                <w:rFonts w:ascii="Adobe Devanagari" w:hAnsi="Adobe Devanagari" w:cs="Adobe Devanagari"/>
                <w:sz w:val="24"/>
              </w:rPr>
            </w:pPr>
            <w:r w:rsidRPr="0009701C">
              <w:rPr>
                <w:rFonts w:ascii="Adobe Devanagari" w:hAnsi="Adobe Devanagari" w:cs="Adobe Devanagari"/>
                <w:sz w:val="24"/>
              </w:rPr>
              <w:t>2.0</w:t>
            </w:r>
          </w:p>
        </w:tc>
        <w:tc>
          <w:tcPr>
            <w:tcW w:w="2070" w:type="dxa"/>
          </w:tcPr>
          <w:p w:rsidR="00C03420" w:rsidRPr="0009701C" w:rsidRDefault="00C03420" w:rsidP="0009701C">
            <w:pPr>
              <w:spacing w:after="120"/>
              <w:rPr>
                <w:rFonts w:ascii="Adobe Devanagari" w:hAnsi="Adobe Devanagari" w:cs="Adobe Devanagari"/>
                <w:sz w:val="24"/>
              </w:rPr>
            </w:pPr>
            <w:r>
              <w:rPr>
                <w:rFonts w:ascii="Adobe Devanagari" w:hAnsi="Adobe Devanagari" w:cs="Adobe Devanagari"/>
                <w:sz w:val="24"/>
              </w:rPr>
              <w:t>Update from GP Coordinators on course sequence assignment</w:t>
            </w:r>
          </w:p>
        </w:tc>
        <w:tc>
          <w:tcPr>
            <w:tcW w:w="6390" w:type="dxa"/>
          </w:tcPr>
          <w:p w:rsidR="00C03420" w:rsidRDefault="001D078D" w:rsidP="00C03420">
            <w:pPr>
              <w:pStyle w:val="ListParagraph"/>
              <w:numPr>
                <w:ilvl w:val="0"/>
                <w:numId w:val="17"/>
              </w:numPr>
              <w:spacing w:after="120"/>
              <w:rPr>
                <w:rFonts w:ascii="Adobe Devanagari" w:hAnsi="Adobe Devanagari" w:cs="Adobe Devanagari"/>
                <w:sz w:val="24"/>
              </w:rPr>
            </w:pPr>
            <w:r>
              <w:rPr>
                <w:rFonts w:ascii="Adobe Devanagari" w:hAnsi="Adobe Devanagari" w:cs="Adobe Devanagari"/>
                <w:sz w:val="24"/>
              </w:rPr>
              <w:t>The have been collaborating with Kate Mahar about attending flex</w:t>
            </w:r>
            <w:r w:rsidR="008D2302">
              <w:rPr>
                <w:rFonts w:ascii="Adobe Devanagari" w:hAnsi="Adobe Devanagari" w:cs="Adobe Devanagari"/>
                <w:sz w:val="24"/>
              </w:rPr>
              <w:t xml:space="preserve"> for a presentation on the Student Journey</w:t>
            </w:r>
            <w:r>
              <w:rPr>
                <w:rFonts w:ascii="Adobe Devanagari" w:hAnsi="Adobe Devanagari" w:cs="Adobe Devanagari"/>
                <w:sz w:val="24"/>
              </w:rPr>
              <w:t xml:space="preserve">. Identifying students to share their journey. </w:t>
            </w:r>
          </w:p>
          <w:p w:rsidR="001D078D" w:rsidRDefault="001D078D" w:rsidP="00C03420">
            <w:pPr>
              <w:pStyle w:val="ListParagraph"/>
              <w:numPr>
                <w:ilvl w:val="0"/>
                <w:numId w:val="17"/>
              </w:numPr>
              <w:spacing w:after="120"/>
              <w:rPr>
                <w:rFonts w:ascii="Adobe Devanagari" w:hAnsi="Adobe Devanagari" w:cs="Adobe Devanagari"/>
                <w:sz w:val="24"/>
              </w:rPr>
            </w:pPr>
            <w:r>
              <w:rPr>
                <w:rFonts w:ascii="Adobe Devanagari" w:hAnsi="Adobe Devanagari" w:cs="Adobe Devanagari"/>
                <w:sz w:val="24"/>
              </w:rPr>
              <w:t>There is some concern that if we just send out the course sequencing form to faculty won’t get great response. Do we want to provide examples?</w:t>
            </w:r>
            <w:r w:rsidR="008D2302">
              <w:rPr>
                <w:rFonts w:ascii="Adobe Devanagari" w:hAnsi="Adobe Devanagari" w:cs="Adobe Devanagari"/>
                <w:sz w:val="24"/>
              </w:rPr>
              <w:t xml:space="preserve"> Is having an example too proscriptive? The timing of this request may complicate compliance. </w:t>
            </w:r>
          </w:p>
          <w:p w:rsidR="008D2302" w:rsidRDefault="008D2302" w:rsidP="00C03420">
            <w:pPr>
              <w:pStyle w:val="ListParagraph"/>
              <w:numPr>
                <w:ilvl w:val="0"/>
                <w:numId w:val="17"/>
              </w:numPr>
              <w:spacing w:after="120"/>
              <w:rPr>
                <w:rFonts w:ascii="Adobe Devanagari" w:hAnsi="Adobe Devanagari" w:cs="Adobe Devanagari"/>
                <w:sz w:val="24"/>
              </w:rPr>
            </w:pPr>
            <w:r>
              <w:rPr>
                <w:rFonts w:ascii="Adobe Devanagari" w:hAnsi="Adobe Devanagari" w:cs="Adobe Devanagari"/>
                <w:sz w:val="24"/>
              </w:rPr>
              <w:t xml:space="preserve">If faculty don’t fill out the sequencing form, should GP coordinators attempt to create a draft and send to faculty to review? There is resistance to this. Matt will bring this to the GP coordinators. </w:t>
            </w:r>
          </w:p>
          <w:p w:rsidR="006153EE" w:rsidRPr="00C03420" w:rsidRDefault="006153EE" w:rsidP="00C03420">
            <w:pPr>
              <w:pStyle w:val="ListParagraph"/>
              <w:numPr>
                <w:ilvl w:val="0"/>
                <w:numId w:val="17"/>
              </w:numPr>
              <w:spacing w:after="120"/>
              <w:rPr>
                <w:rFonts w:ascii="Adobe Devanagari" w:hAnsi="Adobe Devanagari" w:cs="Adobe Devanagari"/>
                <w:sz w:val="24"/>
              </w:rPr>
            </w:pPr>
            <w:r>
              <w:rPr>
                <w:rFonts w:ascii="Adobe Devanagari" w:hAnsi="Adobe Devanagari" w:cs="Adobe Devanagari"/>
                <w:sz w:val="24"/>
              </w:rPr>
              <w:t xml:space="preserve">We will continue to send reminders for faculty to complete the form. </w:t>
            </w:r>
            <w:bookmarkStart w:id="0" w:name="_GoBack"/>
            <w:bookmarkEnd w:id="0"/>
          </w:p>
        </w:tc>
      </w:tr>
      <w:tr w:rsidR="00C03420" w:rsidRPr="0009701C" w:rsidTr="0031752E">
        <w:trPr>
          <w:trHeight w:val="322"/>
        </w:trPr>
        <w:tc>
          <w:tcPr>
            <w:tcW w:w="535" w:type="dxa"/>
          </w:tcPr>
          <w:p w:rsidR="00C03420" w:rsidRPr="0009701C" w:rsidRDefault="00C03420" w:rsidP="0009701C">
            <w:pPr>
              <w:spacing w:after="120"/>
              <w:rPr>
                <w:rFonts w:ascii="Adobe Devanagari" w:hAnsi="Adobe Devanagari" w:cs="Adobe Devanagari"/>
                <w:sz w:val="24"/>
              </w:rPr>
            </w:pPr>
            <w:r w:rsidRPr="0009701C">
              <w:rPr>
                <w:rFonts w:ascii="Adobe Devanagari" w:hAnsi="Adobe Devanagari" w:cs="Adobe Devanagari"/>
                <w:sz w:val="24"/>
              </w:rPr>
              <w:t>3.0</w:t>
            </w:r>
          </w:p>
        </w:tc>
        <w:tc>
          <w:tcPr>
            <w:tcW w:w="2070" w:type="dxa"/>
          </w:tcPr>
          <w:p w:rsidR="00C03420" w:rsidRPr="00176A66" w:rsidRDefault="00C03420" w:rsidP="000C1C15">
            <w:pPr>
              <w:spacing w:after="120"/>
              <w:rPr>
                <w:rFonts w:ascii="Adobe Devanagari" w:hAnsi="Adobe Devanagari" w:cs="Adobe Devanagari"/>
                <w:sz w:val="24"/>
                <w:szCs w:val="24"/>
              </w:rPr>
            </w:pPr>
            <w:r>
              <w:rPr>
                <w:rFonts w:ascii="Adobe Devanagari" w:hAnsi="Adobe Devanagari" w:cs="Adobe Devanagari"/>
                <w:sz w:val="24"/>
                <w:szCs w:val="24"/>
              </w:rPr>
              <w:t xml:space="preserve">Creating meta-majors for the web - should we, and how would be </w:t>
            </w:r>
          </w:p>
        </w:tc>
        <w:tc>
          <w:tcPr>
            <w:tcW w:w="6390" w:type="dxa"/>
          </w:tcPr>
          <w:p w:rsidR="00C03420" w:rsidRDefault="003262A1" w:rsidP="00C03420">
            <w:pPr>
              <w:pStyle w:val="ListParagraph"/>
              <w:numPr>
                <w:ilvl w:val="0"/>
                <w:numId w:val="17"/>
              </w:numPr>
              <w:spacing w:after="120"/>
              <w:rPr>
                <w:rFonts w:ascii="Adobe Devanagari" w:hAnsi="Adobe Devanagari" w:cs="Adobe Devanagari"/>
                <w:sz w:val="24"/>
                <w:szCs w:val="24"/>
              </w:rPr>
            </w:pPr>
            <w:r>
              <w:rPr>
                <w:rFonts w:ascii="Adobe Devanagari" w:hAnsi="Adobe Devanagari" w:cs="Adobe Devanagari"/>
                <w:sz w:val="24"/>
                <w:szCs w:val="24"/>
              </w:rPr>
              <w:t>Add a question about majors to the CTEA questions to help identify students struggling with major selection?</w:t>
            </w:r>
          </w:p>
          <w:p w:rsidR="00F94ABE" w:rsidRPr="00C03420" w:rsidRDefault="00F94ABE" w:rsidP="00C03420">
            <w:pPr>
              <w:pStyle w:val="ListParagraph"/>
              <w:numPr>
                <w:ilvl w:val="0"/>
                <w:numId w:val="17"/>
              </w:numPr>
              <w:spacing w:after="120"/>
              <w:rPr>
                <w:rFonts w:ascii="Adobe Devanagari" w:hAnsi="Adobe Devanagari" w:cs="Adobe Devanagari"/>
                <w:sz w:val="24"/>
                <w:szCs w:val="24"/>
              </w:rPr>
            </w:pPr>
            <w:r>
              <w:rPr>
                <w:rFonts w:ascii="Adobe Devanagari" w:hAnsi="Adobe Devanagari" w:cs="Adobe Devanagari"/>
                <w:sz w:val="24"/>
                <w:szCs w:val="24"/>
              </w:rPr>
              <w:t>Sierra College has a strong website for meta majors and student decision making.</w:t>
            </w:r>
          </w:p>
        </w:tc>
      </w:tr>
    </w:tbl>
    <w:p w:rsidR="0009701C" w:rsidRDefault="0009701C" w:rsidP="0009701C">
      <w:pPr>
        <w:spacing w:after="0"/>
        <w:rPr>
          <w:rFonts w:ascii="Adobe Devanagari" w:hAnsi="Adobe Devanagari" w:cs="Adobe Devanagari"/>
        </w:rPr>
      </w:pPr>
    </w:p>
    <w:p w:rsidR="00991EC6" w:rsidRPr="00605D1B" w:rsidRDefault="00991EC6" w:rsidP="0009701C">
      <w:pPr>
        <w:spacing w:after="0"/>
        <w:rPr>
          <w:rFonts w:ascii="Adobe Devanagari" w:hAnsi="Adobe Devanagari" w:cs="Adobe Devanagari"/>
        </w:rPr>
      </w:pPr>
    </w:p>
    <w:sectPr w:rsidR="00991EC6" w:rsidRPr="00605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2AF7"/>
    <w:multiLevelType w:val="hybridMultilevel"/>
    <w:tmpl w:val="E69A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820D2D"/>
    <w:multiLevelType w:val="hybridMultilevel"/>
    <w:tmpl w:val="2A989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F0E16"/>
    <w:multiLevelType w:val="hybridMultilevel"/>
    <w:tmpl w:val="9C90B2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57413C"/>
    <w:multiLevelType w:val="hybridMultilevel"/>
    <w:tmpl w:val="40D4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23780"/>
    <w:multiLevelType w:val="hybridMultilevel"/>
    <w:tmpl w:val="1F242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1E5048"/>
    <w:multiLevelType w:val="hybridMultilevel"/>
    <w:tmpl w:val="5E600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75CAE"/>
    <w:multiLevelType w:val="hybridMultilevel"/>
    <w:tmpl w:val="AA28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BA0C30"/>
    <w:multiLevelType w:val="hybridMultilevel"/>
    <w:tmpl w:val="AAD67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F3440A"/>
    <w:multiLevelType w:val="hybridMultilevel"/>
    <w:tmpl w:val="AA086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293B8A"/>
    <w:multiLevelType w:val="hybridMultilevel"/>
    <w:tmpl w:val="A68EF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6B0CFF"/>
    <w:multiLevelType w:val="hybridMultilevel"/>
    <w:tmpl w:val="A454A7E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601541D4"/>
    <w:multiLevelType w:val="hybridMultilevel"/>
    <w:tmpl w:val="2EF2869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603A6E7E"/>
    <w:multiLevelType w:val="hybridMultilevel"/>
    <w:tmpl w:val="DEF06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EC107E"/>
    <w:multiLevelType w:val="hybridMultilevel"/>
    <w:tmpl w:val="1318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0FA782E"/>
    <w:multiLevelType w:val="hybridMultilevel"/>
    <w:tmpl w:val="8F8EC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01E8C"/>
    <w:multiLevelType w:val="hybridMultilevel"/>
    <w:tmpl w:val="FDFAE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8A0621A"/>
    <w:multiLevelType w:val="hybridMultilevel"/>
    <w:tmpl w:val="7966D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2"/>
  </w:num>
  <w:num w:numId="3">
    <w:abstractNumId w:val="0"/>
  </w:num>
  <w:num w:numId="4">
    <w:abstractNumId w:val="5"/>
  </w:num>
  <w:num w:numId="5">
    <w:abstractNumId w:val="8"/>
  </w:num>
  <w:num w:numId="6">
    <w:abstractNumId w:val="14"/>
  </w:num>
  <w:num w:numId="7">
    <w:abstractNumId w:val="4"/>
  </w:num>
  <w:num w:numId="8">
    <w:abstractNumId w:val="9"/>
  </w:num>
  <w:num w:numId="9">
    <w:abstractNumId w:val="13"/>
  </w:num>
  <w:num w:numId="10">
    <w:abstractNumId w:val="2"/>
  </w:num>
  <w:num w:numId="11">
    <w:abstractNumId w:val="1"/>
  </w:num>
  <w:num w:numId="12">
    <w:abstractNumId w:val="7"/>
  </w:num>
  <w:num w:numId="13">
    <w:abstractNumId w:val="15"/>
  </w:num>
  <w:num w:numId="14">
    <w:abstractNumId w:val="3"/>
  </w:num>
  <w:num w:numId="15">
    <w:abstractNumId w:val="6"/>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44"/>
    <w:rsid w:val="00007D2C"/>
    <w:rsid w:val="0005231F"/>
    <w:rsid w:val="000810D1"/>
    <w:rsid w:val="0009701C"/>
    <w:rsid w:val="000C1C15"/>
    <w:rsid w:val="001135AD"/>
    <w:rsid w:val="001149C0"/>
    <w:rsid w:val="001461E2"/>
    <w:rsid w:val="001737C9"/>
    <w:rsid w:val="00176A66"/>
    <w:rsid w:val="001D078D"/>
    <w:rsid w:val="001F4ACE"/>
    <w:rsid w:val="00287577"/>
    <w:rsid w:val="0031752E"/>
    <w:rsid w:val="003262A1"/>
    <w:rsid w:val="00333332"/>
    <w:rsid w:val="003D025E"/>
    <w:rsid w:val="00490897"/>
    <w:rsid w:val="004A788B"/>
    <w:rsid w:val="0054452E"/>
    <w:rsid w:val="0056322E"/>
    <w:rsid w:val="00605D1B"/>
    <w:rsid w:val="0061161C"/>
    <w:rsid w:val="006153EE"/>
    <w:rsid w:val="006A7D7E"/>
    <w:rsid w:val="006B4AA4"/>
    <w:rsid w:val="006D1B44"/>
    <w:rsid w:val="006D4354"/>
    <w:rsid w:val="0076405B"/>
    <w:rsid w:val="007C3675"/>
    <w:rsid w:val="007C510D"/>
    <w:rsid w:val="007D6CFC"/>
    <w:rsid w:val="007E4210"/>
    <w:rsid w:val="007E7B1B"/>
    <w:rsid w:val="00816DFA"/>
    <w:rsid w:val="00863051"/>
    <w:rsid w:val="0089555D"/>
    <w:rsid w:val="008B493A"/>
    <w:rsid w:val="008D2302"/>
    <w:rsid w:val="00947E78"/>
    <w:rsid w:val="00967F7D"/>
    <w:rsid w:val="00991EC6"/>
    <w:rsid w:val="00A30CE0"/>
    <w:rsid w:val="00A3308E"/>
    <w:rsid w:val="00A35E3B"/>
    <w:rsid w:val="00A61EEB"/>
    <w:rsid w:val="00B571C8"/>
    <w:rsid w:val="00B83BA9"/>
    <w:rsid w:val="00B8712C"/>
    <w:rsid w:val="00BB3606"/>
    <w:rsid w:val="00BB73FD"/>
    <w:rsid w:val="00BC147E"/>
    <w:rsid w:val="00C03420"/>
    <w:rsid w:val="00C12993"/>
    <w:rsid w:val="00C62B78"/>
    <w:rsid w:val="00CC203D"/>
    <w:rsid w:val="00CC77A4"/>
    <w:rsid w:val="00D22547"/>
    <w:rsid w:val="00D50E0C"/>
    <w:rsid w:val="00D710CD"/>
    <w:rsid w:val="00D9329D"/>
    <w:rsid w:val="00D963B1"/>
    <w:rsid w:val="00DC43BF"/>
    <w:rsid w:val="00E05105"/>
    <w:rsid w:val="00E222E9"/>
    <w:rsid w:val="00E25260"/>
    <w:rsid w:val="00E538D8"/>
    <w:rsid w:val="00E925AB"/>
    <w:rsid w:val="00EA7165"/>
    <w:rsid w:val="00EE28B1"/>
    <w:rsid w:val="00F412E4"/>
    <w:rsid w:val="00F608DB"/>
    <w:rsid w:val="00F914A7"/>
    <w:rsid w:val="00F94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158D3"/>
  <w15:docId w15:val="{E4B00F81-AADE-48EB-8C1A-014BB75B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44"/>
    <w:rPr>
      <w:rFonts w:ascii="Tahoma" w:hAnsi="Tahoma" w:cs="Tahoma"/>
      <w:sz w:val="16"/>
      <w:szCs w:val="16"/>
    </w:rPr>
  </w:style>
  <w:style w:type="table" w:styleId="TableGrid">
    <w:name w:val="Table Grid"/>
    <w:basedOn w:val="TableNormal"/>
    <w:uiPriority w:val="59"/>
    <w:rsid w:val="0060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BA9"/>
    <w:pPr>
      <w:ind w:left="720"/>
      <w:contextualSpacing/>
    </w:pPr>
  </w:style>
  <w:style w:type="character" w:styleId="Hyperlink">
    <w:name w:val="Hyperlink"/>
    <w:basedOn w:val="DefaultParagraphFont"/>
    <w:uiPriority w:val="99"/>
    <w:unhideWhenUsed/>
    <w:rsid w:val="000970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189742">
      <w:bodyDiv w:val="1"/>
      <w:marLeft w:val="0"/>
      <w:marRight w:val="0"/>
      <w:marTop w:val="0"/>
      <w:marBottom w:val="0"/>
      <w:divBdr>
        <w:top w:val="none" w:sz="0" w:space="0" w:color="auto"/>
        <w:left w:val="none" w:sz="0" w:space="0" w:color="auto"/>
        <w:bottom w:val="none" w:sz="0" w:space="0" w:color="auto"/>
        <w:right w:val="none" w:sz="0" w:space="0" w:color="auto"/>
      </w:divBdr>
    </w:div>
    <w:div w:id="172571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583CCA2-5443-4EE2-8598-08BF9C078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College of the Redwoods</cp:lastModifiedBy>
  <cp:revision>19</cp:revision>
  <dcterms:created xsi:type="dcterms:W3CDTF">2019-11-12T23:10:00Z</dcterms:created>
  <dcterms:modified xsi:type="dcterms:W3CDTF">2019-11-13T00:30:00Z</dcterms:modified>
</cp:coreProperties>
</file>