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Pr="008E08FA" w:rsidRDefault="006D1B44" w:rsidP="006D1B44">
      <w:pPr>
        <w:jc w:val="center"/>
        <w:rPr>
          <w:rFonts w:ascii="Times New Roman" w:hAnsi="Times New Roman" w:cs="Times New Roman"/>
        </w:rPr>
      </w:pPr>
      <w:r w:rsidRPr="008E08FA">
        <w:rPr>
          <w:rFonts w:ascii="Times New Roman" w:hAnsi="Times New Roman" w:cs="Times New Roman"/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8E08FA" w:rsidRDefault="00D758F6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8E08FA">
        <w:rPr>
          <w:rFonts w:ascii="Times New Roman" w:hAnsi="Times New Roman" w:cs="Times New Roman"/>
          <w:b/>
          <w:sz w:val="24"/>
        </w:rPr>
        <w:t>Guided Pathways Committee</w:t>
      </w:r>
      <w:r w:rsidRPr="008E08FA">
        <w:rPr>
          <w:rFonts w:ascii="Times New Roman" w:hAnsi="Times New Roman" w:cs="Times New Roman"/>
          <w:b/>
          <w:sz w:val="24"/>
        </w:rPr>
        <w:tab/>
      </w:r>
    </w:p>
    <w:p w:rsidR="0009701C" w:rsidRPr="008E08FA" w:rsidRDefault="00607370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12</w:t>
      </w:r>
      <w:r w:rsidR="00D758F6" w:rsidRPr="008E08FA">
        <w:rPr>
          <w:rFonts w:ascii="Times New Roman" w:hAnsi="Times New Roman" w:cs="Times New Roman"/>
          <w:sz w:val="24"/>
        </w:rPr>
        <w:t>, 2018</w:t>
      </w:r>
    </w:p>
    <w:p w:rsidR="00BB73FD" w:rsidRPr="008E08FA" w:rsidRDefault="00D758F6" w:rsidP="00BB73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E08FA">
        <w:rPr>
          <w:rFonts w:ascii="Times New Roman" w:hAnsi="Times New Roman" w:cs="Times New Roman"/>
          <w:sz w:val="24"/>
        </w:rPr>
        <w:t>4:15pm – 5:15pm</w:t>
      </w:r>
      <w:r w:rsidR="00BB73FD" w:rsidRPr="008E08FA">
        <w:rPr>
          <w:rFonts w:ascii="Times New Roman" w:hAnsi="Times New Roman" w:cs="Times New Roman"/>
          <w:sz w:val="24"/>
        </w:rPr>
        <w:br/>
      </w:r>
      <w:r w:rsidRPr="008E08FA">
        <w:rPr>
          <w:rFonts w:ascii="Times New Roman" w:hAnsi="Times New Roman" w:cs="Times New Roman"/>
          <w:sz w:val="24"/>
        </w:rPr>
        <w:t>FM - 106</w:t>
      </w:r>
    </w:p>
    <w:p w:rsidR="0009701C" w:rsidRDefault="00405954" w:rsidP="00D758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Notes</w:t>
      </w:r>
    </w:p>
    <w:p w:rsidR="00405954" w:rsidRPr="00405954" w:rsidRDefault="00405954" w:rsidP="004059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Participants:</w:t>
      </w:r>
      <w:r>
        <w:rPr>
          <w:rFonts w:ascii="Times New Roman" w:hAnsi="Times New Roman" w:cs="Times New Roman"/>
          <w:sz w:val="24"/>
        </w:rPr>
        <w:t xml:space="preserve"> Angelina Hill, Tina Vaughan, Nicole Bryant </w:t>
      </w:r>
      <w:proofErr w:type="spellStart"/>
      <w:r>
        <w:rPr>
          <w:rFonts w:ascii="Times New Roman" w:hAnsi="Times New Roman" w:cs="Times New Roman"/>
          <w:sz w:val="24"/>
        </w:rPr>
        <w:t>Lescher</w:t>
      </w:r>
      <w:proofErr w:type="spellEnd"/>
      <w:r>
        <w:rPr>
          <w:rFonts w:ascii="Times New Roman" w:hAnsi="Times New Roman" w:cs="Times New Roman"/>
          <w:sz w:val="24"/>
        </w:rPr>
        <w:t xml:space="preserve">, Paul </w:t>
      </w:r>
      <w:proofErr w:type="spellStart"/>
      <w:r>
        <w:rPr>
          <w:rFonts w:ascii="Times New Roman" w:hAnsi="Times New Roman" w:cs="Times New Roman"/>
          <w:sz w:val="24"/>
        </w:rPr>
        <w:t>Chown</w:t>
      </w:r>
      <w:proofErr w:type="spellEnd"/>
      <w:r>
        <w:rPr>
          <w:rFonts w:ascii="Times New Roman" w:hAnsi="Times New Roman" w:cs="Times New Roman"/>
          <w:sz w:val="24"/>
        </w:rPr>
        <w:t xml:space="preserve">, Dave </w:t>
      </w:r>
      <w:proofErr w:type="spellStart"/>
      <w:r>
        <w:rPr>
          <w:rFonts w:ascii="Times New Roman" w:hAnsi="Times New Roman" w:cs="Times New Roman"/>
          <w:sz w:val="24"/>
        </w:rPr>
        <w:t>Bazard</w:t>
      </w:r>
      <w:proofErr w:type="spellEnd"/>
      <w:r>
        <w:rPr>
          <w:rFonts w:ascii="Times New Roman" w:hAnsi="Times New Roman" w:cs="Times New Roman"/>
          <w:sz w:val="24"/>
        </w:rPr>
        <w:t xml:space="preserve">, Cathy Cox, </w:t>
      </w:r>
      <w:proofErr w:type="spellStart"/>
      <w:r>
        <w:rPr>
          <w:rFonts w:ascii="Times New Roman" w:hAnsi="Times New Roman" w:cs="Times New Roman"/>
          <w:sz w:val="24"/>
        </w:rPr>
        <w:t>Kintay</w:t>
      </w:r>
      <w:proofErr w:type="spellEnd"/>
      <w:r>
        <w:rPr>
          <w:rFonts w:ascii="Times New Roman" w:hAnsi="Times New Roman" w:cs="Times New Roman"/>
          <w:sz w:val="24"/>
        </w:rPr>
        <w:t xml:space="preserve"> Johnson, George Potamianos, Joe Hash, Matt McCann, Stephanie </w:t>
      </w:r>
      <w:proofErr w:type="spellStart"/>
      <w:r>
        <w:rPr>
          <w:rFonts w:ascii="Times New Roman" w:hAnsi="Times New Roman" w:cs="Times New Roman"/>
          <w:sz w:val="24"/>
        </w:rPr>
        <w:t>Burres</w:t>
      </w:r>
      <w:proofErr w:type="spellEnd"/>
      <w:r>
        <w:rPr>
          <w:rFonts w:ascii="Times New Roman" w:hAnsi="Times New Roman" w:cs="Times New Roman"/>
          <w:sz w:val="24"/>
        </w:rPr>
        <w:t xml:space="preserve"> (support), Amber </w:t>
      </w:r>
      <w:proofErr w:type="spellStart"/>
      <w:r>
        <w:rPr>
          <w:rFonts w:ascii="Times New Roman" w:hAnsi="Times New Roman" w:cs="Times New Roman"/>
          <w:sz w:val="24"/>
        </w:rPr>
        <w:t>Buntin</w:t>
      </w:r>
      <w:proofErr w:type="spellEnd"/>
      <w:r>
        <w:rPr>
          <w:rFonts w:ascii="Times New Roman" w:hAnsi="Times New Roman" w:cs="Times New Roman"/>
          <w:sz w:val="24"/>
        </w:rPr>
        <w:t>, Erin Wall (telepresence), Angela Stewart (telepresence), Bernadette Johnson (telepresence), Tami Matsumoto (telepresence)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35"/>
        <w:gridCol w:w="2430"/>
        <w:gridCol w:w="6030"/>
      </w:tblGrid>
      <w:tr w:rsidR="00405954" w:rsidRPr="008E08FA" w:rsidTr="00405954">
        <w:trPr>
          <w:trHeight w:val="350"/>
        </w:trPr>
        <w:tc>
          <w:tcPr>
            <w:tcW w:w="535" w:type="dxa"/>
          </w:tcPr>
          <w:p w:rsidR="00405954" w:rsidRPr="008E08FA" w:rsidRDefault="00405954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430" w:type="dxa"/>
          </w:tcPr>
          <w:p w:rsidR="00405954" w:rsidRPr="002F4B0E" w:rsidRDefault="00405954" w:rsidP="002F4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Skills Funding Proposal</w:t>
            </w:r>
          </w:p>
        </w:tc>
        <w:tc>
          <w:tcPr>
            <w:tcW w:w="6030" w:type="dxa"/>
          </w:tcPr>
          <w:p w:rsidR="00405954" w:rsidRDefault="00405954" w:rsidP="0040595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 for 3 faculty members to attend and present at the upcoming CCAP Conference</w:t>
            </w:r>
          </w:p>
          <w:p w:rsidR="00405954" w:rsidRDefault="00405954" w:rsidP="0040595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Nicole and Tina will be presenting on informed consent and Jon Pace will be presenting on transfer level math for CE. </w:t>
            </w:r>
          </w:p>
          <w:p w:rsidR="001056A5" w:rsidRDefault="001056A5" w:rsidP="0040595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informed consent form for students attempting to register for pre-collegiate math and English is ready to be implemented for April 1 opening of Fall registration.</w:t>
            </w:r>
          </w:p>
          <w:p w:rsidR="00DF574C" w:rsidRPr="00405954" w:rsidRDefault="00D806E0" w:rsidP="0040595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9C7B96">
              <w:rPr>
                <w:rFonts w:ascii="Times New Roman" w:hAnsi="Times New Roman" w:cs="Times New Roman"/>
                <w:sz w:val="24"/>
                <w:szCs w:val="24"/>
              </w:rPr>
              <w:t>now,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will be leaving the pre-requisites on math 15 and 30 at this time. </w:t>
            </w:r>
          </w:p>
        </w:tc>
      </w:tr>
      <w:tr w:rsidR="00405954" w:rsidRPr="008E08FA" w:rsidTr="00405954">
        <w:trPr>
          <w:trHeight w:val="350"/>
        </w:trPr>
        <w:tc>
          <w:tcPr>
            <w:tcW w:w="535" w:type="dxa"/>
          </w:tcPr>
          <w:p w:rsidR="00405954" w:rsidRPr="008E08FA" w:rsidRDefault="00405954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430" w:type="dxa"/>
          </w:tcPr>
          <w:p w:rsidR="00405954" w:rsidRPr="002F4B0E" w:rsidRDefault="00405954" w:rsidP="002F4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E">
              <w:rPr>
                <w:rFonts w:ascii="Times New Roman" w:hAnsi="Times New Roman" w:cs="Times New Roman"/>
                <w:sz w:val="24"/>
                <w:szCs w:val="24"/>
              </w:rPr>
              <w:t xml:space="preserve">ESL multiple measures background survey (attached) </w:t>
            </w:r>
          </w:p>
          <w:p w:rsidR="00405954" w:rsidRPr="008E08FA" w:rsidRDefault="00BA186C" w:rsidP="002F4B0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5954" w:rsidRPr="002F4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954" w:rsidRPr="002F4B0E">
              <w:rPr>
                <w:rFonts w:ascii="Times New Roman" w:hAnsi="Times New Roman" w:cs="Times New Roman"/>
                <w:sz w:val="24"/>
                <w:szCs w:val="24"/>
              </w:rPr>
              <w:tab/>
              <w:t>Chancellor’s Office asking for feedback about the most promising questions</w:t>
            </w:r>
          </w:p>
        </w:tc>
        <w:tc>
          <w:tcPr>
            <w:tcW w:w="6030" w:type="dxa"/>
          </w:tcPr>
          <w:p w:rsidR="00405954" w:rsidRPr="00405954" w:rsidRDefault="00DF574C" w:rsidP="0040595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9B5">
              <w:rPr>
                <w:rFonts w:ascii="Times New Roman" w:hAnsi="Times New Roman" w:cs="Times New Roman"/>
                <w:sz w:val="24"/>
                <w:szCs w:val="24"/>
              </w:rPr>
              <w:t>Postponed until next meeting.</w:t>
            </w:r>
          </w:p>
        </w:tc>
      </w:tr>
      <w:tr w:rsidR="00405954" w:rsidRPr="008E08FA" w:rsidTr="00405954">
        <w:trPr>
          <w:trHeight w:val="350"/>
        </w:trPr>
        <w:tc>
          <w:tcPr>
            <w:tcW w:w="535" w:type="dxa"/>
          </w:tcPr>
          <w:p w:rsidR="00405954" w:rsidRPr="008E08FA" w:rsidRDefault="00405954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430" w:type="dxa"/>
          </w:tcPr>
          <w:p w:rsidR="00405954" w:rsidRPr="008E08FA" w:rsidRDefault="00405954" w:rsidP="007B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0E">
              <w:rPr>
                <w:rFonts w:ascii="Times New Roman" w:hAnsi="Times New Roman" w:cs="Times New Roman"/>
                <w:sz w:val="24"/>
                <w:szCs w:val="24"/>
              </w:rPr>
              <w:t>Discussion with Chancellor-sponsored GP coordinator, Kate Mahar (Angelina)</w:t>
            </w:r>
          </w:p>
        </w:tc>
        <w:tc>
          <w:tcPr>
            <w:tcW w:w="6030" w:type="dxa"/>
          </w:tcPr>
          <w:p w:rsidR="00405954" w:rsidRPr="00405954" w:rsidRDefault="004C79B5" w:rsidP="0040595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 Mahar is our GP coordinator for our region. </w:t>
            </w:r>
          </w:p>
        </w:tc>
      </w:tr>
      <w:tr w:rsidR="00405954" w:rsidRPr="008E08FA" w:rsidTr="00405954">
        <w:trPr>
          <w:trHeight w:val="350"/>
        </w:trPr>
        <w:tc>
          <w:tcPr>
            <w:tcW w:w="535" w:type="dxa"/>
          </w:tcPr>
          <w:p w:rsidR="00405954" w:rsidRPr="008E08FA" w:rsidRDefault="00405954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08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2430" w:type="dxa"/>
          </w:tcPr>
          <w:p w:rsidR="00405954" w:rsidRPr="008E08FA" w:rsidRDefault="00405954" w:rsidP="007B05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E">
              <w:rPr>
                <w:rFonts w:ascii="Times New Roman" w:hAnsi="Times New Roman" w:cs="Times New Roman"/>
                <w:sz w:val="24"/>
                <w:szCs w:val="24"/>
              </w:rPr>
              <w:t>Discuss additional outreach efforts about AB 705</w:t>
            </w:r>
          </w:p>
        </w:tc>
        <w:tc>
          <w:tcPr>
            <w:tcW w:w="6030" w:type="dxa"/>
          </w:tcPr>
          <w:p w:rsidR="00405954" w:rsidRPr="00405954" w:rsidRDefault="00D806E0" w:rsidP="0040595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for support classes specifically.</w:t>
            </w:r>
          </w:p>
        </w:tc>
      </w:tr>
      <w:tr w:rsidR="00405954" w:rsidRPr="008E08FA" w:rsidTr="00405954">
        <w:trPr>
          <w:trHeight w:val="350"/>
        </w:trPr>
        <w:tc>
          <w:tcPr>
            <w:tcW w:w="535" w:type="dxa"/>
          </w:tcPr>
          <w:p w:rsidR="00405954" w:rsidRPr="008E08FA" w:rsidRDefault="00405954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430" w:type="dxa"/>
          </w:tcPr>
          <w:p w:rsidR="00405954" w:rsidRPr="002F4B0E" w:rsidRDefault="00405954" w:rsidP="007B05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E">
              <w:rPr>
                <w:rFonts w:ascii="Times New Roman" w:hAnsi="Times New Roman" w:cs="Times New Roman"/>
                <w:sz w:val="24"/>
                <w:szCs w:val="24"/>
              </w:rPr>
              <w:t>Serving students who have not gone through placement process</w:t>
            </w:r>
          </w:p>
        </w:tc>
        <w:tc>
          <w:tcPr>
            <w:tcW w:w="6030" w:type="dxa"/>
          </w:tcPr>
          <w:p w:rsidR="00405954" w:rsidRPr="00405954" w:rsidRDefault="004C79B5" w:rsidP="0040595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Postponed until next meeting.</w:t>
            </w:r>
            <w:bookmarkStart w:id="0" w:name="_GoBack"/>
            <w:bookmarkEnd w:id="0"/>
          </w:p>
        </w:tc>
      </w:tr>
      <w:tr w:rsidR="00405954" w:rsidRPr="008E08FA" w:rsidTr="00405954">
        <w:trPr>
          <w:trHeight w:val="350"/>
        </w:trPr>
        <w:tc>
          <w:tcPr>
            <w:tcW w:w="535" w:type="dxa"/>
          </w:tcPr>
          <w:p w:rsidR="00405954" w:rsidRDefault="00405954" w:rsidP="0009701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2430" w:type="dxa"/>
          </w:tcPr>
          <w:p w:rsidR="00405954" w:rsidRPr="002F4B0E" w:rsidRDefault="00405954" w:rsidP="007B059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B0E">
              <w:rPr>
                <w:rFonts w:ascii="Times New Roman" w:hAnsi="Times New Roman" w:cs="Times New Roman"/>
                <w:sz w:val="24"/>
                <w:szCs w:val="24"/>
              </w:rPr>
              <w:t>Ideas for FLEX session on AB 705/GP</w:t>
            </w:r>
          </w:p>
        </w:tc>
        <w:tc>
          <w:tcPr>
            <w:tcW w:w="6030" w:type="dxa"/>
          </w:tcPr>
          <w:p w:rsidR="00405954" w:rsidRDefault="00047291" w:rsidP="0040595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Kintay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would like the session to mention that all of the special programs are in support of Guided Pathways.</w:t>
            </w:r>
          </w:p>
          <w:p w:rsidR="00DA4BF3" w:rsidRPr="00405954" w:rsidRDefault="00DA4BF3" w:rsidP="00405954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presentation needs to demonstrate how GP and AB 705 impact everyone not just English and Math faculty.</w:t>
            </w:r>
            <w:r w:rsidR="00E9684F">
              <w:rPr>
                <w:rFonts w:ascii="Times New Roman" w:hAnsi="Times New Roman" w:cs="Times New Roman"/>
                <w:sz w:val="24"/>
                <w:szCs w:val="24"/>
              </w:rPr>
              <w:t xml:space="preserve"> It would be beneficial to have some specific examples.</w:t>
            </w:r>
          </w:p>
        </w:tc>
      </w:tr>
    </w:tbl>
    <w:p w:rsidR="0009701C" w:rsidRDefault="0009701C" w:rsidP="0009701C">
      <w:pPr>
        <w:spacing w:after="0"/>
        <w:rPr>
          <w:rFonts w:ascii="Times New Roman" w:hAnsi="Times New Roman" w:cs="Times New Roman"/>
        </w:rPr>
      </w:pPr>
    </w:p>
    <w:p w:rsidR="008E08FA" w:rsidRDefault="008E08FA" w:rsidP="008E08F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E08FA" w:rsidRPr="008E08FA" w:rsidRDefault="008E08FA" w:rsidP="0009701C">
      <w:pPr>
        <w:spacing w:after="0"/>
        <w:rPr>
          <w:rFonts w:ascii="Times New Roman" w:hAnsi="Times New Roman" w:cs="Times New Roman"/>
        </w:rPr>
      </w:pPr>
    </w:p>
    <w:sectPr w:rsidR="008E08FA" w:rsidRPr="008E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C260D"/>
    <w:multiLevelType w:val="hybridMultilevel"/>
    <w:tmpl w:val="FD7C39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183B13"/>
    <w:multiLevelType w:val="hybridMultilevel"/>
    <w:tmpl w:val="19D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44"/>
    <w:rsid w:val="00007D2C"/>
    <w:rsid w:val="00047291"/>
    <w:rsid w:val="000810D1"/>
    <w:rsid w:val="0009701C"/>
    <w:rsid w:val="001056A5"/>
    <w:rsid w:val="001135AD"/>
    <w:rsid w:val="001149C0"/>
    <w:rsid w:val="001737C9"/>
    <w:rsid w:val="001F4ACE"/>
    <w:rsid w:val="00275F24"/>
    <w:rsid w:val="00287577"/>
    <w:rsid w:val="0028789C"/>
    <w:rsid w:val="002F4B0E"/>
    <w:rsid w:val="00333332"/>
    <w:rsid w:val="003D025E"/>
    <w:rsid w:val="00405954"/>
    <w:rsid w:val="004A788B"/>
    <w:rsid w:val="004C79B5"/>
    <w:rsid w:val="0054452E"/>
    <w:rsid w:val="00605D1B"/>
    <w:rsid w:val="00607370"/>
    <w:rsid w:val="0061161C"/>
    <w:rsid w:val="006A7D7E"/>
    <w:rsid w:val="006B4AA4"/>
    <w:rsid w:val="006D1B44"/>
    <w:rsid w:val="0076405B"/>
    <w:rsid w:val="007B059B"/>
    <w:rsid w:val="007C510D"/>
    <w:rsid w:val="007E4210"/>
    <w:rsid w:val="007E7B1B"/>
    <w:rsid w:val="00863051"/>
    <w:rsid w:val="008B493A"/>
    <w:rsid w:val="008E08FA"/>
    <w:rsid w:val="009C7B96"/>
    <w:rsid w:val="00A30CE0"/>
    <w:rsid w:val="00A35E3B"/>
    <w:rsid w:val="00A42268"/>
    <w:rsid w:val="00A61EEB"/>
    <w:rsid w:val="00B571C8"/>
    <w:rsid w:val="00B83BA9"/>
    <w:rsid w:val="00B8712C"/>
    <w:rsid w:val="00BA186C"/>
    <w:rsid w:val="00BB3606"/>
    <w:rsid w:val="00BB73FD"/>
    <w:rsid w:val="00BC147E"/>
    <w:rsid w:val="00C12993"/>
    <w:rsid w:val="00CC203D"/>
    <w:rsid w:val="00CC77A4"/>
    <w:rsid w:val="00D50E0C"/>
    <w:rsid w:val="00D710CD"/>
    <w:rsid w:val="00D758F6"/>
    <w:rsid w:val="00D806E0"/>
    <w:rsid w:val="00DA4BF3"/>
    <w:rsid w:val="00DC43BF"/>
    <w:rsid w:val="00DF574C"/>
    <w:rsid w:val="00E05105"/>
    <w:rsid w:val="00E222E9"/>
    <w:rsid w:val="00E538D8"/>
    <w:rsid w:val="00E9684F"/>
    <w:rsid w:val="00F608DB"/>
    <w:rsid w:val="00F9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CB44"/>
  <w15:docId w15:val="{E4B00F81-AADE-48EB-8C1A-014BB75B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College of the Redwoods</cp:lastModifiedBy>
  <cp:revision>23</cp:revision>
  <dcterms:created xsi:type="dcterms:W3CDTF">2017-09-22T15:06:00Z</dcterms:created>
  <dcterms:modified xsi:type="dcterms:W3CDTF">2018-12-13T01:26:00Z</dcterms:modified>
</cp:coreProperties>
</file>