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4C68E7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17, 2019</w:t>
      </w:r>
    </w:p>
    <w:p w:rsidR="00BB73FD" w:rsidRPr="008E08FA" w:rsidRDefault="004C68E7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4:00pm – 5:00</w:t>
      </w:r>
      <w:r w:rsidR="00D758F6" w:rsidRPr="008E08FA">
        <w:rPr>
          <w:rFonts w:ascii="Times New Roman" w:hAnsi="Times New Roman" w:cs="Times New Roman"/>
          <w:sz w:val="24"/>
        </w:rPr>
        <w:t>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="00D758F6" w:rsidRPr="008E08FA">
        <w:rPr>
          <w:rFonts w:ascii="Times New Roman" w:hAnsi="Times New Roman" w:cs="Times New Roman"/>
          <w:sz w:val="24"/>
        </w:rPr>
        <w:t>FM - 106</w:t>
      </w:r>
    </w:p>
    <w:p w:rsidR="0009701C" w:rsidRDefault="003F7023" w:rsidP="00D758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3F7023" w:rsidRPr="003F7023" w:rsidRDefault="003F7023" w:rsidP="003F7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Participants: </w:t>
      </w:r>
      <w:r>
        <w:rPr>
          <w:rFonts w:ascii="Times New Roman" w:hAnsi="Times New Roman" w:cs="Times New Roman"/>
          <w:sz w:val="24"/>
        </w:rPr>
        <w:t xml:space="preserve">Angelina Hill, Tina Vaughan, Nicole Bryant </w:t>
      </w:r>
      <w:proofErr w:type="spellStart"/>
      <w:r>
        <w:rPr>
          <w:rFonts w:ascii="Times New Roman" w:hAnsi="Times New Roman" w:cs="Times New Roman"/>
          <w:sz w:val="24"/>
        </w:rPr>
        <w:t>Lescher</w:t>
      </w:r>
      <w:proofErr w:type="spellEnd"/>
      <w:r>
        <w:rPr>
          <w:rFonts w:ascii="Times New Roman" w:hAnsi="Times New Roman" w:cs="Times New Roman"/>
          <w:sz w:val="24"/>
        </w:rPr>
        <w:t xml:space="preserve">, Bernadette Johnson, Joe Hash, </w:t>
      </w:r>
      <w:r w:rsidR="002F6886">
        <w:rPr>
          <w:rFonts w:ascii="Times New Roman" w:hAnsi="Times New Roman" w:cs="Times New Roman"/>
          <w:sz w:val="24"/>
        </w:rPr>
        <w:t xml:space="preserve">Angela Stewart, </w:t>
      </w:r>
      <w:r>
        <w:rPr>
          <w:rFonts w:ascii="Times New Roman" w:hAnsi="Times New Roman" w:cs="Times New Roman"/>
          <w:sz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</w:rPr>
        <w:t>Burlison</w:t>
      </w:r>
      <w:proofErr w:type="spellEnd"/>
      <w:r>
        <w:rPr>
          <w:rFonts w:ascii="Times New Roman" w:hAnsi="Times New Roman" w:cs="Times New Roman"/>
          <w:sz w:val="24"/>
        </w:rPr>
        <w:t xml:space="preserve">, Karen Reiss, Amber </w:t>
      </w:r>
      <w:proofErr w:type="spellStart"/>
      <w:r>
        <w:rPr>
          <w:rFonts w:ascii="Times New Roman" w:hAnsi="Times New Roman" w:cs="Times New Roman"/>
          <w:sz w:val="24"/>
        </w:rPr>
        <w:t>Buntin</w:t>
      </w:r>
      <w:proofErr w:type="spellEnd"/>
      <w:r>
        <w:rPr>
          <w:rFonts w:ascii="Times New Roman" w:hAnsi="Times New Roman" w:cs="Times New Roman"/>
          <w:sz w:val="24"/>
        </w:rPr>
        <w:t xml:space="preserve">, George Potamianos, Cathy Cox, Stephanie </w:t>
      </w:r>
      <w:proofErr w:type="spellStart"/>
      <w:r>
        <w:rPr>
          <w:rFonts w:ascii="Times New Roman" w:hAnsi="Times New Roman" w:cs="Times New Roman"/>
          <w:sz w:val="24"/>
        </w:rPr>
        <w:t>Burres</w:t>
      </w:r>
      <w:proofErr w:type="spellEnd"/>
      <w:r>
        <w:rPr>
          <w:rFonts w:ascii="Times New Roman" w:hAnsi="Times New Roman" w:cs="Times New Roman"/>
          <w:sz w:val="24"/>
        </w:rPr>
        <w:t xml:space="preserve"> (support), Tami Matsumoto, Dave </w:t>
      </w:r>
      <w:proofErr w:type="spellStart"/>
      <w:r>
        <w:rPr>
          <w:rFonts w:ascii="Times New Roman" w:hAnsi="Times New Roman" w:cs="Times New Roman"/>
          <w:sz w:val="24"/>
        </w:rPr>
        <w:t>Bazard</w:t>
      </w:r>
      <w:proofErr w:type="spellEnd"/>
      <w:r>
        <w:rPr>
          <w:rFonts w:ascii="Times New Roman" w:hAnsi="Times New Roman" w:cs="Times New Roman"/>
          <w:sz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</w:rPr>
        <w:t>Chown</w:t>
      </w:r>
      <w:proofErr w:type="spellEnd"/>
      <w:r>
        <w:rPr>
          <w:rFonts w:ascii="Times New Roman" w:hAnsi="Times New Roman" w:cs="Times New Roman"/>
          <w:sz w:val="24"/>
        </w:rPr>
        <w:t>, Cheryl Norton, and Erin Wall (telepresence)</w:t>
      </w:r>
      <w:r w:rsidR="000357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3577D">
        <w:rPr>
          <w:rFonts w:ascii="Times New Roman" w:hAnsi="Times New Roman" w:cs="Times New Roman"/>
          <w:sz w:val="24"/>
        </w:rPr>
        <w:t>Kintay</w:t>
      </w:r>
      <w:proofErr w:type="spellEnd"/>
      <w:r w:rsidR="0003577D">
        <w:rPr>
          <w:rFonts w:ascii="Times New Roman" w:hAnsi="Times New Roman" w:cs="Times New Roman"/>
          <w:sz w:val="24"/>
        </w:rPr>
        <w:t xml:space="preserve"> Johnson (telepresence)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25"/>
        <w:gridCol w:w="2970"/>
        <w:gridCol w:w="5490"/>
      </w:tblGrid>
      <w:tr w:rsidR="003F7023" w:rsidRPr="004C68E7" w:rsidTr="003F7023">
        <w:trPr>
          <w:trHeight w:val="350"/>
        </w:trPr>
        <w:tc>
          <w:tcPr>
            <w:tcW w:w="625" w:type="dxa"/>
          </w:tcPr>
          <w:p w:rsidR="003F7023" w:rsidRPr="004C68E7" w:rsidRDefault="003F7023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70" w:type="dxa"/>
          </w:tcPr>
          <w:p w:rsidR="003F7023" w:rsidRPr="004C68E7" w:rsidRDefault="003F7023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Strong Planning Tool</w:t>
            </w:r>
          </w:p>
        </w:tc>
        <w:tc>
          <w:tcPr>
            <w:tcW w:w="5490" w:type="dxa"/>
          </w:tcPr>
          <w:p w:rsidR="003F7023" w:rsidRDefault="003F7023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Testing tool based on the Meyers Briggs assess</w:t>
            </w:r>
            <w:r w:rsidR="002163FF">
              <w:rPr>
                <w:rFonts w:ascii="Times New Roman" w:hAnsi="Times New Roman" w:cs="Times New Roman"/>
                <w:sz w:val="24"/>
                <w:szCs w:val="24"/>
              </w:rPr>
              <w:t>ment tool for career planning.</w:t>
            </w:r>
          </w:p>
          <w:p w:rsidR="002163FF" w:rsidRDefault="002163FF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can take the assessment from their mobile device or in the career center. The tool is linking to Guided Pathways meta-majors. </w:t>
            </w:r>
          </w:p>
          <w:p w:rsidR="002163FF" w:rsidRPr="003F7023" w:rsidRDefault="002163FF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Cheryl will be setting up a demo </w:t>
            </w:r>
            <w:r w:rsidR="006347EF">
              <w:rPr>
                <w:rFonts w:ascii="Times New Roman" w:hAnsi="Times New Roman" w:cs="Times New Roman"/>
                <w:sz w:val="24"/>
                <w:szCs w:val="24"/>
              </w:rPr>
              <w:t xml:space="preserve">with the vendor </w:t>
            </w:r>
            <w:r w:rsidR="00117C44">
              <w:rPr>
                <w:rFonts w:ascii="Times New Roman" w:hAnsi="Times New Roman" w:cs="Times New Roman"/>
                <w:sz w:val="24"/>
                <w:szCs w:val="24"/>
              </w:rPr>
              <w:t xml:space="preserve">at our next meeting </w:t>
            </w:r>
            <w:r w:rsidR="006347EF">
              <w:rPr>
                <w:rFonts w:ascii="Times New Roman" w:hAnsi="Times New Roman" w:cs="Times New Roman"/>
                <w:sz w:val="24"/>
                <w:szCs w:val="24"/>
              </w:rPr>
              <w:t>to find out more about the assessment tool and how it could meet our needs.</w:t>
            </w:r>
          </w:p>
        </w:tc>
      </w:tr>
      <w:tr w:rsidR="003F7023" w:rsidRPr="004C68E7" w:rsidTr="003F7023">
        <w:trPr>
          <w:trHeight w:val="350"/>
        </w:trPr>
        <w:tc>
          <w:tcPr>
            <w:tcW w:w="625" w:type="dxa"/>
          </w:tcPr>
          <w:p w:rsidR="003F7023" w:rsidRPr="004C68E7" w:rsidRDefault="003F7023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970" w:type="dxa"/>
          </w:tcPr>
          <w:p w:rsidR="003F7023" w:rsidRPr="004C68E7" w:rsidRDefault="003F7023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ESL Task Force Creation (Nik &amp; George)</w:t>
            </w:r>
          </w:p>
          <w:p w:rsidR="003F7023" w:rsidRPr="004C68E7" w:rsidRDefault="003F7023" w:rsidP="004C68E7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 xml:space="preserve">ESL multiple measures background survey (attached) </w:t>
            </w:r>
          </w:p>
        </w:tc>
        <w:tc>
          <w:tcPr>
            <w:tcW w:w="5490" w:type="dxa"/>
          </w:tcPr>
          <w:p w:rsidR="002F6886" w:rsidRDefault="006E7AF5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been awaiting more guidance from the Chancellor’s Office regarding ESL. The Chancellor’s Office has created a task force to address the needs of ESL students. </w:t>
            </w:r>
          </w:p>
          <w:p w:rsidR="003F7023" w:rsidRDefault="002F6886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that the task force will address: </w:t>
            </w:r>
            <w:r w:rsidR="006E7AF5">
              <w:rPr>
                <w:rFonts w:ascii="Times New Roman" w:hAnsi="Times New Roman" w:cs="Times New Roman"/>
                <w:sz w:val="24"/>
                <w:szCs w:val="24"/>
              </w:rPr>
              <w:t>How do we identify ESL students, what are their needs?</w:t>
            </w:r>
          </w:p>
          <w:p w:rsidR="006E7AF5" w:rsidRDefault="00F37188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Del Norte Outreach Coordinator will be a good resource on the ESL community at their campus. </w:t>
            </w:r>
          </w:p>
          <w:p w:rsidR="00F37188" w:rsidRPr="003F7023" w:rsidRDefault="00F37188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Angelina will we coordinating the task force in the coming weeks.</w:t>
            </w:r>
          </w:p>
        </w:tc>
      </w:tr>
      <w:tr w:rsidR="003F7023" w:rsidRPr="004C68E7" w:rsidTr="003F7023">
        <w:trPr>
          <w:trHeight w:val="350"/>
        </w:trPr>
        <w:tc>
          <w:tcPr>
            <w:tcW w:w="625" w:type="dxa"/>
          </w:tcPr>
          <w:p w:rsidR="003F7023" w:rsidRPr="004C68E7" w:rsidRDefault="0003577D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23"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970" w:type="dxa"/>
          </w:tcPr>
          <w:p w:rsidR="003F7023" w:rsidRPr="004C68E7" w:rsidRDefault="003F7023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Guided Pathways coordinator, Kate Mahar, and N/FN team visit on January 29 (Angelina)</w:t>
            </w:r>
          </w:p>
          <w:p w:rsidR="003F7023" w:rsidRPr="004C68E7" w:rsidRDefault="003F7023" w:rsidP="007B059B">
            <w:pPr>
              <w:pStyle w:val="ListParagraph"/>
              <w:numPr>
                <w:ilvl w:val="1"/>
                <w:numId w:val="1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Help creating agenda</w:t>
            </w:r>
          </w:p>
        </w:tc>
        <w:tc>
          <w:tcPr>
            <w:tcW w:w="5490" w:type="dxa"/>
          </w:tcPr>
          <w:p w:rsidR="003F7023" w:rsidRDefault="00954D8B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3 NFN Guided Pathways coordinators will be visiting at the end of this month. Angelina will be developing an agenda for their visit.</w:t>
            </w:r>
          </w:p>
          <w:p w:rsidR="00954D8B" w:rsidRPr="003F7023" w:rsidRDefault="001514CE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Angelina would like them to meet with as many members of this committee during their visits. </w:t>
            </w:r>
          </w:p>
        </w:tc>
      </w:tr>
      <w:tr w:rsidR="003F7023" w:rsidRPr="004C68E7" w:rsidTr="003F7023">
        <w:trPr>
          <w:trHeight w:val="350"/>
        </w:trPr>
        <w:tc>
          <w:tcPr>
            <w:tcW w:w="625" w:type="dxa"/>
          </w:tcPr>
          <w:p w:rsidR="003F7023" w:rsidRPr="004C68E7" w:rsidRDefault="0003577D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023"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970" w:type="dxa"/>
          </w:tcPr>
          <w:p w:rsidR="003F7023" w:rsidRPr="004C68E7" w:rsidRDefault="003F7023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Check-ins</w:t>
            </w:r>
          </w:p>
          <w:p w:rsidR="003F7023" w:rsidRPr="004C68E7" w:rsidRDefault="003F7023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Waiver to enroll in remedial coursework (Nik &amp; Paul)</w:t>
            </w:r>
          </w:p>
          <w:p w:rsidR="003F7023" w:rsidRPr="004C68E7" w:rsidRDefault="003F7023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Project glue (Paul)</w:t>
            </w:r>
          </w:p>
          <w:p w:rsidR="003F7023" w:rsidRPr="004C68E7" w:rsidRDefault="003F7023" w:rsidP="004C68E7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Placement workshops (Tina &amp; Bernadette)</w:t>
            </w:r>
          </w:p>
        </w:tc>
        <w:tc>
          <w:tcPr>
            <w:tcW w:w="5490" w:type="dxa"/>
          </w:tcPr>
          <w:p w:rsidR="003F7023" w:rsidRDefault="001514CE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Project Glue update at this time.</w:t>
            </w:r>
          </w:p>
          <w:p w:rsidR="001514CE" w:rsidRDefault="001514CE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Norte has a drop-in placement workshop and Ed plan session. EOPs was there as well as faculty, the event was pretty successful.</w:t>
            </w:r>
          </w:p>
          <w:p w:rsidR="001514CE" w:rsidRDefault="00777BBF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Rebranding our placement process away from placement and more towards guidance and pathway planning.</w:t>
            </w:r>
          </w:p>
          <w:p w:rsidR="004F62FD" w:rsidRDefault="004F62FD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and Tina conducted interviews with students to get their </w:t>
            </w:r>
            <w:r w:rsidR="009F0318"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informed consent form. </w:t>
            </w:r>
          </w:p>
          <w:p w:rsidR="00777BBF" w:rsidRDefault="0070543C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waiver will be postponed until the next meeting</w:t>
            </w:r>
          </w:p>
          <w:p w:rsidR="0070543C" w:rsidRPr="003F7023" w:rsidRDefault="0070543C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 is Wednesday, February 13, 2019 at 4:15pm – 5:15pm.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8C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906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9BF"/>
    <w:multiLevelType w:val="hybridMultilevel"/>
    <w:tmpl w:val="1CE86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A1309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3577D"/>
    <w:rsid w:val="000810D1"/>
    <w:rsid w:val="0009701C"/>
    <w:rsid w:val="001135AD"/>
    <w:rsid w:val="001149C0"/>
    <w:rsid w:val="00117C44"/>
    <w:rsid w:val="001514CE"/>
    <w:rsid w:val="001737C9"/>
    <w:rsid w:val="001F4ACE"/>
    <w:rsid w:val="002163FF"/>
    <w:rsid w:val="00287577"/>
    <w:rsid w:val="0028789C"/>
    <w:rsid w:val="002F6886"/>
    <w:rsid w:val="00333332"/>
    <w:rsid w:val="003D025E"/>
    <w:rsid w:val="003F7023"/>
    <w:rsid w:val="004A788B"/>
    <w:rsid w:val="004C68E7"/>
    <w:rsid w:val="004F62FD"/>
    <w:rsid w:val="0052037D"/>
    <w:rsid w:val="0054452E"/>
    <w:rsid w:val="00605D1B"/>
    <w:rsid w:val="0061161C"/>
    <w:rsid w:val="006347EF"/>
    <w:rsid w:val="006A7D7E"/>
    <w:rsid w:val="006B4AA4"/>
    <w:rsid w:val="006D1B44"/>
    <w:rsid w:val="006E7AF5"/>
    <w:rsid w:val="0070543C"/>
    <w:rsid w:val="0076405B"/>
    <w:rsid w:val="00777BBF"/>
    <w:rsid w:val="007B059B"/>
    <w:rsid w:val="007C510D"/>
    <w:rsid w:val="007E4210"/>
    <w:rsid w:val="007E7B1B"/>
    <w:rsid w:val="00863051"/>
    <w:rsid w:val="008B493A"/>
    <w:rsid w:val="008E08FA"/>
    <w:rsid w:val="00954D8B"/>
    <w:rsid w:val="009F0318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38D8"/>
    <w:rsid w:val="00F3718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8510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24</cp:revision>
  <dcterms:created xsi:type="dcterms:W3CDTF">2017-09-22T15:06:00Z</dcterms:created>
  <dcterms:modified xsi:type="dcterms:W3CDTF">2019-01-18T01:10:00Z</dcterms:modified>
</cp:coreProperties>
</file>