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A3308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 Committee</w:t>
      </w:r>
    </w:p>
    <w:p w:rsidR="0009701C" w:rsidRPr="00BB3606" w:rsidRDefault="000D02AD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November 1</w:t>
      </w:r>
      <w:r w:rsidR="00176A66">
        <w:rPr>
          <w:rFonts w:ascii="Adobe Devanagari" w:hAnsi="Adobe Devanagari" w:cs="Adobe Devanagari"/>
          <w:sz w:val="24"/>
        </w:rPr>
        <w:t>, 2019</w:t>
      </w:r>
    </w:p>
    <w:p w:rsidR="00BB73FD" w:rsidRPr="00BB3606" w:rsidRDefault="00176A6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3</w:t>
      </w:r>
      <w:r w:rsidR="00E925AB">
        <w:rPr>
          <w:rFonts w:ascii="Adobe Devanagari" w:hAnsi="Adobe Devanagari" w:cs="Adobe Devanagari"/>
          <w:sz w:val="24"/>
        </w:rPr>
        <w:t>:00</w:t>
      </w:r>
      <w:r>
        <w:rPr>
          <w:rFonts w:ascii="Adobe Devanagari" w:hAnsi="Adobe Devanagari" w:cs="Adobe Devanagari"/>
          <w:sz w:val="24"/>
        </w:rPr>
        <w:t xml:space="preserve"> </w:t>
      </w:r>
      <w:r w:rsidR="00E925AB">
        <w:rPr>
          <w:rFonts w:ascii="Adobe Devanagari" w:hAnsi="Adobe Devanagari" w:cs="Adobe Devanagari"/>
          <w:sz w:val="24"/>
        </w:rPr>
        <w:t>–</w:t>
      </w:r>
      <w:r>
        <w:rPr>
          <w:rFonts w:ascii="Adobe Devanagari" w:hAnsi="Adobe Devanagari" w:cs="Adobe Devanagari"/>
          <w:sz w:val="24"/>
        </w:rPr>
        <w:t xml:space="preserve"> 4</w:t>
      </w:r>
      <w:r w:rsidR="00E925AB">
        <w:rPr>
          <w:rFonts w:ascii="Adobe Devanagari" w:hAnsi="Adobe Devanagari" w:cs="Adobe Devanagari"/>
          <w:sz w:val="24"/>
        </w:rPr>
        <w:t>:00</w:t>
      </w:r>
      <w:r w:rsidR="00F412E4">
        <w:rPr>
          <w:rFonts w:ascii="Adobe Devanagari" w:hAnsi="Adobe Devanagari" w:cs="Adobe Devanagari"/>
          <w:sz w:val="24"/>
        </w:rPr>
        <w:t xml:space="preserve"> pm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FM - 107</w:t>
      </w:r>
    </w:p>
    <w:p w:rsidR="00BB73FD" w:rsidRPr="00BB3606" w:rsidRDefault="00E925AB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Notes</w:t>
      </w:r>
    </w:p>
    <w:p w:rsidR="0009701C" w:rsidRPr="00E925AB" w:rsidRDefault="00E925AB" w:rsidP="004A788B">
      <w:pPr>
        <w:rPr>
          <w:rFonts w:ascii="Adobe Devanagari" w:hAnsi="Adobe Devanagari" w:cs="Adobe Devanagari"/>
          <w:b/>
          <w:sz w:val="24"/>
        </w:rPr>
      </w:pPr>
      <w:r w:rsidRPr="00E925AB">
        <w:rPr>
          <w:rFonts w:ascii="Adobe Devanagari" w:hAnsi="Adobe Devanagari" w:cs="Adobe Devanagari"/>
          <w:b/>
          <w:sz w:val="24"/>
        </w:rPr>
        <w:t>Participants:</w:t>
      </w:r>
      <w:r>
        <w:rPr>
          <w:rFonts w:ascii="Adobe Devanagari" w:hAnsi="Adobe Devanagari" w:cs="Adobe Devanagari"/>
          <w:b/>
          <w:sz w:val="24"/>
        </w:rPr>
        <w:t xml:space="preserve"> </w:t>
      </w:r>
      <w:r>
        <w:rPr>
          <w:rFonts w:ascii="Adobe Devanagari" w:hAnsi="Adobe Devanagari" w:cs="Adobe Devanagari"/>
          <w:sz w:val="24"/>
        </w:rPr>
        <w:t xml:space="preserve">Angelina Hill, George Potamianos, Shannon Sullivan, Dave Bazard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3"/>
        <w:gridCol w:w="3062"/>
        <w:gridCol w:w="5755"/>
      </w:tblGrid>
      <w:tr w:rsidR="00E925AB" w:rsidRPr="0009701C" w:rsidTr="00CB2001">
        <w:trPr>
          <w:trHeight w:val="338"/>
        </w:trPr>
        <w:tc>
          <w:tcPr>
            <w:tcW w:w="533" w:type="dxa"/>
          </w:tcPr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3062" w:type="dxa"/>
          </w:tcPr>
          <w:p w:rsidR="00E925AB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 from the Guided Pathways Coordinators</w:t>
            </w:r>
          </w:p>
          <w:p w:rsidR="00E925AB" w:rsidRDefault="00E925AB" w:rsidP="00816DFA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Committee d</w:t>
            </w:r>
            <w:r w:rsidRPr="00816DFA">
              <w:rPr>
                <w:rFonts w:ascii="Adobe Devanagari" w:hAnsi="Adobe Devanagari" w:cs="Adobe Devanagari"/>
                <w:sz w:val="24"/>
              </w:rPr>
              <w:t>iscuss how to identify key student milestones in the developing pathways</w:t>
            </w:r>
          </w:p>
          <w:p w:rsidR="00E925AB" w:rsidRPr="00816DFA" w:rsidRDefault="00E925AB" w:rsidP="00816DFA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 w:rsidRPr="00816DFA">
              <w:rPr>
                <w:rFonts w:ascii="Adobe Devanagari" w:hAnsi="Adobe Devanagari" w:cs="Adobe Devanagari"/>
                <w:sz w:val="24"/>
                <w:szCs w:val="24"/>
              </w:rPr>
              <w:t>Committee discuss how IR’s degree audit completion tool can be used to see where students are in their degree attainment and enable the college to intervene and support student persistence</w:t>
            </w:r>
          </w:p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5755" w:type="dxa"/>
          </w:tcPr>
          <w:p w:rsidR="00947E78" w:rsidRDefault="00490897" w:rsidP="0049089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They have been focused on a course sequencing form. </w:t>
            </w:r>
            <w:r w:rsidR="00947E78">
              <w:rPr>
                <w:rFonts w:ascii="Adobe Devanagari" w:hAnsi="Adobe Devanagari" w:cs="Adobe Devanagari"/>
                <w:sz w:val="24"/>
              </w:rPr>
              <w:t xml:space="preserve">The form will not include GE courses. </w:t>
            </w:r>
          </w:p>
          <w:p w:rsidR="0056322E" w:rsidRDefault="00947E78" w:rsidP="0049089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The Coordinators</w:t>
            </w:r>
            <w:r w:rsidR="00490897">
              <w:rPr>
                <w:rFonts w:ascii="Adobe Devanagari" w:hAnsi="Adobe Devanagari" w:cs="Adobe Devanagari"/>
                <w:sz w:val="24"/>
              </w:rPr>
              <w:t xml:space="preserve"> will be sending the form to the full time faculty with ADTs and in CE areas to begin filling theirs out with the ideal sequencing of course.</w:t>
            </w:r>
          </w:p>
          <w:p w:rsidR="00E925AB" w:rsidRDefault="0056322E" w:rsidP="0056322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The Coordinators do not believe that it will take a lot of time for areas to fill out this form. The information will be forwarded to Courtney Loder to be put into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eLumen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and in the catalogue. This will be a tool to assist counselors in scheduling. </w:t>
            </w:r>
          </w:p>
          <w:p w:rsidR="0056322E" w:rsidRDefault="00C62B78" w:rsidP="0056322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Does prescribing fit for all areas</w:t>
            </w:r>
            <w:r w:rsidR="0005231F">
              <w:rPr>
                <w:rFonts w:ascii="Adobe Devanagari" w:hAnsi="Adobe Devanagari" w:cs="Adobe Devanagari"/>
                <w:sz w:val="24"/>
              </w:rPr>
              <w:t xml:space="preserve"> (i.e. history)</w:t>
            </w:r>
            <w:r>
              <w:rPr>
                <w:rFonts w:ascii="Adobe Devanagari" w:hAnsi="Adobe Devanagari" w:cs="Adobe Devanagari"/>
                <w:sz w:val="24"/>
              </w:rPr>
              <w:t>? Are there GE suggestions for courses sequencing (i.e. when to take English 1A)? This can be added in the notes section.  Pre-requisites and Co-requisites can be entered on the form.</w:t>
            </w:r>
          </w:p>
          <w:p w:rsidR="00C62B78" w:rsidRDefault="0005231F" w:rsidP="0056322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The Coordinators would like to have all the forms completed by the end of the year</w:t>
            </w:r>
            <w:r w:rsidR="00947E78">
              <w:rPr>
                <w:rFonts w:ascii="Adobe Devanagari" w:hAnsi="Adobe Devanagari" w:cs="Adobe Devanagari"/>
                <w:sz w:val="24"/>
              </w:rPr>
              <w:t xml:space="preserve"> and entered by the end of the Academic Year</w:t>
            </w:r>
            <w:r>
              <w:rPr>
                <w:rFonts w:ascii="Adobe Devanagari" w:hAnsi="Adobe Devanagari" w:cs="Adobe Devanagari"/>
                <w:sz w:val="24"/>
              </w:rPr>
              <w:t xml:space="preserve">. They have written instructions and will provide a completed </w:t>
            </w:r>
            <w:r w:rsidR="00947E78">
              <w:rPr>
                <w:rFonts w:ascii="Adobe Devanagari" w:hAnsi="Adobe Devanagari" w:cs="Adobe Devanagari"/>
                <w:sz w:val="24"/>
              </w:rPr>
              <w:t>example</w:t>
            </w:r>
            <w:r>
              <w:rPr>
                <w:rFonts w:ascii="Adobe Devanagari" w:hAnsi="Adobe Devanagari" w:cs="Adobe Devanagari"/>
                <w:sz w:val="24"/>
              </w:rPr>
              <w:t xml:space="preserve"> for faculty. </w:t>
            </w:r>
          </w:p>
          <w:p w:rsidR="00947E78" w:rsidRDefault="00947E78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George will try to fill out the form for History to see how it fits. </w:t>
            </w:r>
          </w:p>
          <w:p w:rsidR="00947E78" w:rsidRDefault="00947E78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Dave would like to see this as a FLEX session. </w:t>
            </w:r>
          </w:p>
          <w:p w:rsidR="00CB2001" w:rsidRDefault="00CB2001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STEM is working to develop a core course. Other areas are exploring if a core course is needed and what it might look like?</w:t>
            </w:r>
          </w:p>
          <w:p w:rsidR="0071044A" w:rsidRDefault="0071044A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For students exploring the websites would something like Woodley/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Chatbot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help?</w:t>
            </w:r>
          </w:p>
          <w:p w:rsidR="00744134" w:rsidRPr="00E925AB" w:rsidRDefault="00744134" w:rsidP="00947E7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lastRenderedPageBreak/>
              <w:t xml:space="preserve">Does it make sense to have overlap in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metamajors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? </w:t>
            </w:r>
            <w:r w:rsidR="00630186">
              <w:rPr>
                <w:rFonts w:ascii="Adobe Devanagari" w:hAnsi="Adobe Devanagari" w:cs="Adobe Devanagari"/>
                <w:sz w:val="24"/>
              </w:rPr>
              <w:t xml:space="preserve">Are they just a way to graphically represent our offerings online, or do they align with new ways to reach educational goals. </w:t>
            </w:r>
          </w:p>
        </w:tc>
      </w:tr>
      <w:tr w:rsidR="00E925AB" w:rsidRPr="0009701C" w:rsidTr="00CB2001">
        <w:trPr>
          <w:trHeight w:val="338"/>
        </w:trPr>
        <w:tc>
          <w:tcPr>
            <w:tcW w:w="533" w:type="dxa"/>
          </w:tcPr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lastRenderedPageBreak/>
              <w:t>2.0</w:t>
            </w:r>
          </w:p>
        </w:tc>
        <w:tc>
          <w:tcPr>
            <w:tcW w:w="3062" w:type="dxa"/>
          </w:tcPr>
          <w:p w:rsidR="00E925AB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Review the Request for Student Equity and Achievement Funds (attached)</w:t>
            </w:r>
          </w:p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Should this include Guided Pathways funds?</w:t>
            </w:r>
          </w:p>
        </w:tc>
        <w:tc>
          <w:tcPr>
            <w:tcW w:w="5755" w:type="dxa"/>
          </w:tcPr>
          <w:p w:rsidR="00E925AB" w:rsidRDefault="00DE5465" w:rsidP="00E925A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Math Lab Substitutes</w:t>
            </w:r>
            <w:r w:rsidR="00EF4A67">
              <w:rPr>
                <w:rFonts w:ascii="Adobe Devanagari" w:hAnsi="Adobe Devanagari" w:cs="Adobe Devanagari"/>
                <w:sz w:val="24"/>
              </w:rPr>
              <w:t>: Approved</w:t>
            </w:r>
          </w:p>
          <w:p w:rsidR="00DE5465" w:rsidRPr="005273B7" w:rsidRDefault="00624E3A" w:rsidP="00E925A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Theme="majorHAnsi" w:hAnsiTheme="majorHAnsi"/>
              </w:rPr>
              <w:t>ASC Tutors for Student A</w:t>
            </w:r>
            <w:r w:rsidR="00DE5465">
              <w:rPr>
                <w:rFonts w:asciiTheme="majorHAnsi" w:hAnsiTheme="majorHAnsi"/>
              </w:rPr>
              <w:t>chievement</w:t>
            </w:r>
            <w:r w:rsidR="00EF4A67">
              <w:rPr>
                <w:rFonts w:asciiTheme="majorHAnsi" w:hAnsiTheme="majorHAnsi"/>
              </w:rPr>
              <w:t>: Approved</w:t>
            </w:r>
          </w:p>
          <w:p w:rsidR="005273B7" w:rsidRPr="00E925AB" w:rsidRDefault="005273B7" w:rsidP="00E925A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Theme="majorHAnsi" w:hAnsiTheme="majorHAnsi"/>
              </w:rPr>
              <w:t xml:space="preserve">Form feedback – yes, the form should act for Basic skills and Guided Pathways form. </w:t>
            </w:r>
          </w:p>
        </w:tc>
      </w:tr>
      <w:tr w:rsidR="00E925AB" w:rsidRPr="0009701C" w:rsidTr="00CB2001">
        <w:trPr>
          <w:trHeight w:val="338"/>
        </w:trPr>
        <w:tc>
          <w:tcPr>
            <w:tcW w:w="533" w:type="dxa"/>
          </w:tcPr>
          <w:p w:rsidR="00E925AB" w:rsidRPr="0009701C" w:rsidRDefault="00E925AB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3062" w:type="dxa"/>
          </w:tcPr>
          <w:p w:rsidR="00E925AB" w:rsidRPr="00176A66" w:rsidRDefault="00E925AB" w:rsidP="00176A66">
            <w:p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Begin to a</w:t>
            </w:r>
            <w:r w:rsidRPr="00176A66">
              <w:rPr>
                <w:rFonts w:ascii="Adobe Devanagari" w:hAnsi="Adobe Devanagari" w:cs="Adobe Devanagari"/>
                <w:sz w:val="24"/>
                <w:szCs w:val="24"/>
              </w:rPr>
              <w:t>nalyze and develop umbrella mission and goals for extra-curricular (outside classroom) support options on campus (EPIC, Noncredit, ASC tutoring). (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GP </w:t>
            </w:r>
            <w:r w:rsidRPr="00176A66">
              <w:rPr>
                <w:rFonts w:ascii="Adobe Devanagari" w:hAnsi="Adobe Devanagari" w:cs="Adobe Devanagari"/>
                <w:sz w:val="24"/>
                <w:szCs w:val="24"/>
              </w:rPr>
              <w:t>Goal 2b)</w:t>
            </w:r>
          </w:p>
        </w:tc>
        <w:tc>
          <w:tcPr>
            <w:tcW w:w="5755" w:type="dxa"/>
          </w:tcPr>
          <w:p w:rsidR="00E925AB" w:rsidRPr="00E925AB" w:rsidRDefault="005A1C77" w:rsidP="00E925A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Committee reviewed Bakersfield and Shasta Colleges Guided Pathways websites and discussed usability and Meta major alignment.</w:t>
            </w:r>
            <w:bookmarkStart w:id="0" w:name="_GoBack"/>
            <w:bookmarkEnd w:id="0"/>
          </w:p>
        </w:tc>
      </w:tr>
    </w:tbl>
    <w:p w:rsidR="0009701C" w:rsidRDefault="0009701C" w:rsidP="0009701C">
      <w:pPr>
        <w:spacing w:after="0"/>
        <w:rPr>
          <w:rFonts w:ascii="Adobe Devanagari" w:hAnsi="Adobe Devanagari" w:cs="Adobe Devanagari"/>
        </w:rPr>
      </w:pPr>
    </w:p>
    <w:p w:rsidR="00991EC6" w:rsidRPr="00605D1B" w:rsidRDefault="00991EC6" w:rsidP="0009701C">
      <w:pPr>
        <w:spacing w:after="0"/>
        <w:rPr>
          <w:rFonts w:ascii="Adobe Devanagari" w:hAnsi="Adobe Devanagari" w:cs="Adobe Devanagari"/>
        </w:rPr>
      </w:pPr>
    </w:p>
    <w:sectPr w:rsidR="00991EC6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7413C"/>
    <w:multiLevelType w:val="hybridMultilevel"/>
    <w:tmpl w:val="40D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CAE"/>
    <w:multiLevelType w:val="hybridMultilevel"/>
    <w:tmpl w:val="AA2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541D4"/>
    <w:multiLevelType w:val="hybridMultilevel"/>
    <w:tmpl w:val="2EF286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E8C"/>
    <w:multiLevelType w:val="hybridMultilevel"/>
    <w:tmpl w:val="FDFAE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231F"/>
    <w:rsid w:val="000810D1"/>
    <w:rsid w:val="0009701C"/>
    <w:rsid w:val="000D02AD"/>
    <w:rsid w:val="001135AD"/>
    <w:rsid w:val="001149C0"/>
    <w:rsid w:val="001461E2"/>
    <w:rsid w:val="001737C9"/>
    <w:rsid w:val="00176A66"/>
    <w:rsid w:val="001F4ACE"/>
    <w:rsid w:val="00287577"/>
    <w:rsid w:val="00333332"/>
    <w:rsid w:val="003D025E"/>
    <w:rsid w:val="00490897"/>
    <w:rsid w:val="004A788B"/>
    <w:rsid w:val="005273B7"/>
    <w:rsid w:val="0054452E"/>
    <w:rsid w:val="0056322E"/>
    <w:rsid w:val="005A1C77"/>
    <w:rsid w:val="00605D1B"/>
    <w:rsid w:val="0061161C"/>
    <w:rsid w:val="00624E3A"/>
    <w:rsid w:val="00630186"/>
    <w:rsid w:val="006A7D7E"/>
    <w:rsid w:val="006B4AA4"/>
    <w:rsid w:val="006D1B44"/>
    <w:rsid w:val="0071044A"/>
    <w:rsid w:val="00744134"/>
    <w:rsid w:val="0076405B"/>
    <w:rsid w:val="007C3675"/>
    <w:rsid w:val="007C510D"/>
    <w:rsid w:val="007E4210"/>
    <w:rsid w:val="007E7B1B"/>
    <w:rsid w:val="00816DFA"/>
    <w:rsid w:val="00863051"/>
    <w:rsid w:val="008B493A"/>
    <w:rsid w:val="00947E78"/>
    <w:rsid w:val="00991EC6"/>
    <w:rsid w:val="00A30CE0"/>
    <w:rsid w:val="00A3308E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62B78"/>
    <w:rsid w:val="00CB2001"/>
    <w:rsid w:val="00CC203D"/>
    <w:rsid w:val="00CC77A4"/>
    <w:rsid w:val="00D22547"/>
    <w:rsid w:val="00D50E0C"/>
    <w:rsid w:val="00D710CD"/>
    <w:rsid w:val="00DC43BF"/>
    <w:rsid w:val="00DE5465"/>
    <w:rsid w:val="00E05105"/>
    <w:rsid w:val="00E222E9"/>
    <w:rsid w:val="00E538D8"/>
    <w:rsid w:val="00E920BD"/>
    <w:rsid w:val="00E925AB"/>
    <w:rsid w:val="00EA7165"/>
    <w:rsid w:val="00EF4A67"/>
    <w:rsid w:val="00F412E4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39D3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BBB709C-0A4A-4022-81A5-557E5BF2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15</cp:revision>
  <dcterms:created xsi:type="dcterms:W3CDTF">2019-11-01T22:59:00Z</dcterms:created>
  <dcterms:modified xsi:type="dcterms:W3CDTF">2019-11-13T17:36:00Z</dcterms:modified>
</cp:coreProperties>
</file>