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5C1D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2BF12D0" wp14:editId="674177A6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A173" w14:textId="50812D10" w:rsidR="006D7F97" w:rsidRPr="006D7F97" w:rsidRDefault="00962128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Education Master Plan</w:t>
      </w:r>
    </w:p>
    <w:p w14:paraId="3F45753F" w14:textId="5DA5DE0F" w:rsidR="006D7F97" w:rsidRPr="006D7F97" w:rsidRDefault="00BD498B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September 25,  2020</w:t>
      </w:r>
    </w:p>
    <w:p w14:paraId="66AFBBC4" w14:textId="02DFBB11" w:rsidR="006D7F97" w:rsidRPr="006D7F97" w:rsidRDefault="00962128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9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3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="00EE796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am </w:t>
      </w:r>
      <w:r w:rsidR="001912F0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</w:t>
      </w:r>
      <w:r w:rsidR="00EE796B">
        <w:rPr>
          <w:rFonts w:ascii="&amp;quot" w:eastAsia="Times New Roman" w:hAnsi="&amp;quot" w:cs="Times New Roman"/>
          <w:color w:val="000000"/>
          <w:sz w:val="24"/>
          <w:szCs w:val="24"/>
        </w:rPr>
        <w:t>1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 w:rsidR="00393580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0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7EC32BC9" w14:textId="77777777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F635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073B934" w14:textId="2A715A4B" w:rsidR="002F635B" w:rsidRPr="006D7F97" w:rsidRDefault="002F635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Participants: 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 </w:t>
      </w:r>
      <w:r w:rsidR="00D63212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Keith Flamer, </w:t>
      </w:r>
      <w:r w:rsidR="00962128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Philip Mancus, Angelina Hill, Peter Blakemore, Chris Gaines, John Johnston, Levi Gill, Gary Sokolow, Derek Glavich, Kerry Mayer, </w:t>
      </w:r>
      <w:r w:rsidR="0075575B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Sean Thomas, </w:t>
      </w:r>
      <w:r w:rsidR="00945548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Gary Sokolow, </w:t>
      </w:r>
      <w:r w:rsidR="0075575B">
        <w:rPr>
          <w:rFonts w:ascii="&amp;quot" w:eastAsia="Times New Roman" w:hAnsi="&amp;quot" w:cs="Times New Roman"/>
          <w:bCs/>
          <w:color w:val="000000"/>
          <w:sz w:val="24"/>
          <w:szCs w:val="24"/>
        </w:rPr>
        <w:t>Erin Wall</w:t>
      </w:r>
      <w:r w:rsidR="00962128">
        <w:rPr>
          <w:rFonts w:ascii="&amp;quot" w:eastAsia="Times New Roman" w:hAnsi="&amp;quot" w:cs="Times New Roman"/>
          <w:bCs/>
          <w:color w:val="000000"/>
          <w:sz w:val="24"/>
          <w:szCs w:val="24"/>
        </w:rPr>
        <w:t>, Reno Giovannetti</w:t>
      </w:r>
      <w:r w:rsidR="00E56F9F">
        <w:rPr>
          <w:rFonts w:ascii="&amp;quot" w:eastAsia="Times New Roman" w:hAnsi="&amp;quot" w:cs="Times New Roman"/>
          <w:bCs/>
          <w:color w:val="000000"/>
          <w:sz w:val="24"/>
          <w:szCs w:val="24"/>
        </w:rPr>
        <w:t>, Wendy Riggs</w:t>
      </w:r>
      <w:r w:rsidR="00DB2B1C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, Jon Pedicino, </w:t>
      </w: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30"/>
        <w:gridCol w:w="8010"/>
      </w:tblGrid>
      <w:tr w:rsidR="00BE318E" w:rsidRPr="006D7F97" w14:paraId="1D5ACCEB" w14:textId="476D7005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CB0C" w14:textId="77777777" w:rsidR="00BE318E" w:rsidRPr="006D7F97" w:rsidRDefault="00BE318E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1A87" w14:textId="374C3E5F" w:rsidR="00BE318E" w:rsidRDefault="00DB2B1C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Vision &amp; Purpose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4A9E" w14:textId="76B64355" w:rsidR="00775163" w:rsidRDefault="00DB2B1C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Keith highlighted the importance</w:t>
            </w:r>
            <w:r w:rsidR="0075575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to have all voices heard as we move toward our mission as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an</w:t>
            </w:r>
            <w:r w:rsidR="0075575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in</w:t>
            </w:r>
            <w:r w:rsidR="008A4E4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 w:rsidR="0075575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tit</w:t>
            </w:r>
            <w:r w:rsidR="008A4E4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ut</w:t>
            </w:r>
            <w:r w:rsidR="0075575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ion for transfer, career, adult and community education. </w:t>
            </w:r>
          </w:p>
          <w:p w14:paraId="374089CC" w14:textId="58E7C090" w:rsidR="00DB2B1C" w:rsidRDefault="00DB2B1C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Chris would like to begin with looking at the big picture and close in on the </w:t>
            </w:r>
            <w:r w:rsidR="00361B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details and</w:t>
            </w:r>
            <w:r w:rsidR="00EE796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specific areas for planning</w:t>
            </w:r>
            <w:r w:rsidR="00361B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later</w:t>
            </w:r>
            <w:r w:rsidR="00EE796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</w:t>
            </w:r>
          </w:p>
          <w:p w14:paraId="4C6F3F04" w14:textId="4DD33379" w:rsidR="00D63212" w:rsidRPr="0075575B" w:rsidRDefault="00D63212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Chris will send out articles from the Times that relate to higher education, some are more related to our mission than others.</w:t>
            </w:r>
          </w:p>
        </w:tc>
      </w:tr>
      <w:tr w:rsidR="0075575B" w:rsidRPr="006D7F97" w14:paraId="0681BBB7" w14:textId="77777777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D5B9" w14:textId="1F460C03" w:rsidR="0075575B" w:rsidRDefault="0075575B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3CB" w14:textId="74D0E534" w:rsidR="0075575B" w:rsidRDefault="00223062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A1CE" w14:textId="77777777" w:rsidR="0075575B" w:rsidRPr="00223062" w:rsidRDefault="00223062" w:rsidP="00223062">
            <w:pPr>
              <w:snapToGrid w:val="0"/>
              <w:spacing w:after="120" w:line="240" w:lineRule="auto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</w:pPr>
            <w:r w:rsidRPr="00223062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What is our core purpose?</w:t>
            </w:r>
          </w:p>
          <w:p w14:paraId="0C908D0F" w14:textId="73D911CD" w:rsidR="00223062" w:rsidRDefault="0093781E" w:rsidP="00223062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This is </w:t>
            </w:r>
            <w:r w:rsidR="00361B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different that our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mission statement or something that is mandated by the ACCJC or Chancellor’s Office. It is our institution</w:t>
            </w:r>
            <w:r w:rsidR="00361B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, “</w:t>
            </w:r>
            <w:r w:rsidR="00361B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why -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why do we exist?”</w:t>
            </w:r>
          </w:p>
          <w:p w14:paraId="37AB766B" w14:textId="77777777" w:rsidR="00C26B3E" w:rsidRDefault="0093781E" w:rsidP="00223062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What are we most passionate about? </w:t>
            </w:r>
          </w:p>
          <w:p w14:paraId="7CC02FD5" w14:textId="77777777" w:rsidR="00C26B3E" w:rsidRDefault="0093781E" w:rsidP="00C26B3E">
            <w:pPr>
              <w:pStyle w:val="ListParagraph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Helping students reach their goal</w:t>
            </w:r>
          </w:p>
          <w:p w14:paraId="0582F7FD" w14:textId="77777777" w:rsidR="00C26B3E" w:rsidRDefault="00C26B3E" w:rsidP="00C26B3E">
            <w:pPr>
              <w:pStyle w:val="ListParagraph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</w:t>
            </w:r>
            <w:r w:rsidR="009832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each</w:t>
            </w:r>
          </w:p>
          <w:p w14:paraId="75E67DEF" w14:textId="77777777" w:rsidR="00C26B3E" w:rsidRDefault="00C26B3E" w:rsidP="00C26B3E">
            <w:pPr>
              <w:pStyle w:val="ListParagraph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</w:t>
            </w:r>
            <w:r w:rsidR="0093781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earning </w:t>
            </w:r>
          </w:p>
          <w:p w14:paraId="0C1890C0" w14:textId="77777777" w:rsidR="00C26B3E" w:rsidRDefault="00C26B3E" w:rsidP="00C26B3E">
            <w:pPr>
              <w:pStyle w:val="ListParagraph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</w:t>
            </w:r>
            <w:r w:rsidR="0093781E" w:rsidRP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assionate about real ideas</w:t>
            </w:r>
          </w:p>
          <w:p w14:paraId="68374A86" w14:textId="77777777" w:rsidR="00C26B3E" w:rsidRDefault="00C26B3E" w:rsidP="00C26B3E">
            <w:pPr>
              <w:pStyle w:val="ListParagraph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</w:t>
            </w:r>
            <w:r w:rsidR="0093781E" w:rsidRP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elping students discover their voice</w:t>
            </w:r>
          </w:p>
          <w:p w14:paraId="153245A7" w14:textId="77777777" w:rsidR="00C26B3E" w:rsidRDefault="00C26B3E" w:rsidP="00C26B3E">
            <w:pPr>
              <w:pStyle w:val="ListParagraph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 w:rsidR="0093781E" w:rsidRP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tudents want to learn and so do I</w:t>
            </w:r>
          </w:p>
          <w:p w14:paraId="4B62431D" w14:textId="77777777" w:rsidR="00C26B3E" w:rsidRDefault="00C26B3E" w:rsidP="00C26B3E">
            <w:pPr>
              <w:pStyle w:val="ListParagraph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</w:t>
            </w:r>
            <w:r w:rsidR="0093781E" w:rsidRP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elp students see their potential to learn and reach their goals in these challenging times</w:t>
            </w:r>
          </w:p>
          <w:p w14:paraId="624F4A96" w14:textId="0C5CAAB1" w:rsidR="0093781E" w:rsidRPr="00C26B3E" w:rsidRDefault="00C26B3E" w:rsidP="00C26B3E">
            <w:pPr>
              <w:pStyle w:val="ListParagraph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</w:t>
            </w:r>
            <w:r w:rsidR="00E37A82" w:rsidRP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earning how to vet information and understand statistics and critical thinking opportunities in </w:t>
            </w:r>
            <w:r w:rsidR="00BD498B" w:rsidRP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everyday</w:t>
            </w:r>
            <w:r w:rsidR="00E37A82" w:rsidRP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life. </w:t>
            </w:r>
          </w:p>
          <w:p w14:paraId="1D7C53DC" w14:textId="67D063E3" w:rsidR="00945548" w:rsidRDefault="00945548" w:rsidP="00223062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Stephanie noted the importance of </w:t>
            </w:r>
            <w:r w:rsidR="00A7209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developing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confidence in our students who have never been considered the “smart kid” or “academic type.” Recognizing the ways in which we reduce our students’ confidence before they even get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into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the classroom. </w:t>
            </w:r>
          </w:p>
          <w:p w14:paraId="33D8D5B3" w14:textId="77777777" w:rsidR="00983259" w:rsidRPr="00945548" w:rsidRDefault="00983259" w:rsidP="00945548">
            <w:pPr>
              <w:snapToGrid w:val="0"/>
              <w:spacing w:after="120" w:line="240" w:lineRule="auto"/>
              <w:ind w:left="18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45548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What about culture</w:t>
            </w:r>
            <w:r w:rsidRPr="00945548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? </w:t>
            </w:r>
          </w:p>
          <w:p w14:paraId="1A74ABFE" w14:textId="7394F196" w:rsidR="00983259" w:rsidRDefault="00945548" w:rsidP="00223062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Angelina highlighted that it is impossible to remove learning from its cultural context. </w:t>
            </w:r>
          </w:p>
          <w:p w14:paraId="3404F51D" w14:textId="2C0A391C" w:rsidR="00B32B92" w:rsidRDefault="00B32B92" w:rsidP="00223062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Erin highlighted the importance of integrating</w:t>
            </w:r>
            <w:r w:rsidRPr="00B32B92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academics and job skills to meet the needs of our students and community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</w:p>
          <w:p w14:paraId="0F6AC491" w14:textId="38967006" w:rsidR="002D594B" w:rsidRDefault="002D594B" w:rsidP="00223062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Phillip notes that i</w:t>
            </w:r>
            <w:r w:rsidRPr="002D594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 we are being faithful to logic, reason, science, open and free enquiry, then we should be able to deliver to any cultural group.</w:t>
            </w:r>
          </w:p>
          <w:p w14:paraId="2CEE96B6" w14:textId="698384F8" w:rsidR="00945548" w:rsidRPr="00945548" w:rsidRDefault="00945548" w:rsidP="00945548">
            <w:pPr>
              <w:snapToGrid w:val="0"/>
              <w:spacing w:after="120" w:line="240" w:lineRule="auto"/>
              <w:ind w:left="180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</w:pPr>
            <w:r w:rsidRPr="00945548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 xml:space="preserve">What would we tell an outsider about </w:t>
            </w: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CR</w:t>
            </w:r>
            <w:r w:rsidRPr="00945548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14:paraId="50D187A8" w14:textId="1F3DBD0B" w:rsidR="00B32B92" w:rsidRPr="002D594B" w:rsidRDefault="00945548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Pelican Bay scholars, CE programs meeting community needs, </w:t>
            </w:r>
            <w:r w:rsidR="00B32B92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adapting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our programs to meet employer skill need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</w:p>
          <w:p w14:paraId="2A0E5217" w14:textId="5BD594A0" w:rsidR="00B32B92" w:rsidRDefault="00A72099" w:rsidP="00B32B92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Kerry envisions t</w:t>
            </w:r>
            <w:r w:rsidR="00945548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ying our programming to local resources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what is innate to our community and region </w:t>
            </w:r>
            <w:r w:rsidR="00B32B92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(climate, natural resources, sustainability)</w:t>
            </w:r>
            <w:r w:rsidR="00945548" w:rsidRPr="00B32B92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Highlight areas that other Colleges can’t offer. </w:t>
            </w:r>
          </w:p>
          <w:p w14:paraId="79C85A9B" w14:textId="77777777" w:rsidR="00A72099" w:rsidRDefault="00B32B92" w:rsidP="00B32B92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What are we missing? </w:t>
            </w:r>
          </w:p>
          <w:p w14:paraId="1CBAED19" w14:textId="3D00485E" w:rsidR="00945548" w:rsidRDefault="00B32B92" w:rsidP="00A72099">
            <w:pPr>
              <w:pStyle w:val="ListParagraph"/>
              <w:numPr>
                <w:ilvl w:val="0"/>
                <w:numId w:val="5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Buy in from the community. </w:t>
            </w:r>
            <w:r w:rsidR="00945548" w:rsidRPr="00B32B92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14:paraId="6AF16850" w14:textId="35776C18" w:rsidR="00A72099" w:rsidRDefault="00A72099" w:rsidP="00A72099">
            <w:pPr>
              <w:pStyle w:val="ListParagraph"/>
              <w:numPr>
                <w:ilvl w:val="0"/>
                <w:numId w:val="5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Are we assuming we know the needs of our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students?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moving forward, do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students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need more of the same? John mentioned a crisis of confidence in higher education overall.</w:t>
            </w:r>
          </w:p>
          <w:p w14:paraId="44114837" w14:textId="4A7413E5" w:rsidR="00A72099" w:rsidRDefault="002D594B" w:rsidP="00A72099">
            <w:pPr>
              <w:pStyle w:val="ListParagraph"/>
              <w:numPr>
                <w:ilvl w:val="0"/>
                <w:numId w:val="5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What are we trying to do for our students:</w:t>
            </w:r>
            <w:r w:rsid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</w:t>
            </w:r>
            <w:r w:rsid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reate reasonable people.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</w:t>
            </w:r>
            <w:r w:rsid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reate critical thinkers.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</w:t>
            </w:r>
            <w:r w:rsid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reate students with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marketable</w:t>
            </w:r>
            <w:r w:rsidR="00C26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job skills. To help to students find passion.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Are these goals at odds.</w:t>
            </w:r>
          </w:p>
          <w:p w14:paraId="56FC4A5B" w14:textId="47F88658" w:rsidR="002D594B" w:rsidRDefault="002D594B" w:rsidP="00A72099">
            <w:pPr>
              <w:pStyle w:val="ListParagraph"/>
              <w:numPr>
                <w:ilvl w:val="0"/>
                <w:numId w:val="5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Philip suggest that i</w:t>
            </w:r>
            <w:r w:rsidRPr="002D594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 we are being faithful to logic, reason, science, open and free enquiry, then we should be able to deliver to any cultural group.</w:t>
            </w:r>
          </w:p>
          <w:p w14:paraId="7E606B73" w14:textId="50153817" w:rsidR="002D594B" w:rsidRDefault="002D594B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Sean notes the importance of innovation and pursuing professional development that elevates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individuals</w:t>
            </w:r>
            <w:r w:rsidR="00BD498B">
              <w:rPr>
                <w:rFonts w:ascii="&amp;quot" w:eastAsia="Times New Roman" w:hAnsi="&amp;quot" w:cs="Times New Roman" w:hint="eastAsia"/>
                <w:color w:val="000000"/>
                <w:sz w:val="24"/>
                <w:szCs w:val="24"/>
              </w:rPr>
              <w:t>’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skills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teaching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and curriculum development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He sees education from a post-humanist standpoint and that even in face-to-face courses we are embedded in technology. Jon mentions that elevating our online work will make us better educators in all methodologies. </w:t>
            </w:r>
          </w:p>
          <w:p w14:paraId="2AFD3D10" w14:textId="77777777" w:rsidR="002D594B" w:rsidRDefault="0039073E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There is a theme to the discussion of a more holistic approach to education without as many subject and departmental divisions. Integrating the liberal arts into a robust interdisciplinary </w:t>
            </w:r>
            <w:r w:rsidR="00FA67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education. </w:t>
            </w:r>
          </w:p>
          <w:p w14:paraId="24B1B416" w14:textId="77777777" w:rsidR="00F01CB1" w:rsidRDefault="00F01CB1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Philip noted that student learning outcomes can be achieved outside of the classroom and after courses are completed. </w:t>
            </w:r>
          </w:p>
          <w:p w14:paraId="6C830434" w14:textId="5ECC1739" w:rsidR="007E4B1B" w:rsidRDefault="007E4B1B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Reno brought up a resistance among some faculty to technology and that while this group is largely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like-minded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with regard to technology and online teaching it may not be echoed across campus. He is concerned if we will be able to make this shift. </w:t>
            </w:r>
          </w:p>
          <w:p w14:paraId="512C59E7" w14:textId="77777777" w:rsidR="00A506F0" w:rsidRDefault="00A506F0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Keith summarized a theme of confidence in higher education, how can we shift our mission to increase confidence. </w:t>
            </w:r>
          </w:p>
          <w:p w14:paraId="1F1F1552" w14:textId="6A7417C6" w:rsidR="00A506F0" w:rsidRPr="002D594B" w:rsidRDefault="00A506F0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Sean indicated that he thinks that the mission of community colleges is natural</w:t>
            </w:r>
            <w:r w:rsidR="00277A2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ly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socially just. To provide ope</w:t>
            </w:r>
            <w:r w:rsidR="00277A2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 access and equitable access to all. </w:t>
            </w:r>
            <w:r w:rsidR="00862FD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However, perceptions of certain political leanings, ideologies, and campus culture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undermine</w:t>
            </w:r>
            <w:r w:rsidR="00862FD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our success and broad appeal 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with</w:t>
            </w:r>
            <w:r w:rsidR="00862FD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in the community. </w:t>
            </w:r>
          </w:p>
        </w:tc>
      </w:tr>
      <w:tr w:rsidR="00AC2394" w:rsidRPr="006D7F97" w14:paraId="524DC9AD" w14:textId="77777777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B727" w14:textId="04A13231" w:rsidR="00AC2394" w:rsidRDefault="00AC2394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2.0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28BC" w14:textId="659ED583" w:rsidR="00AC2394" w:rsidRDefault="00AC2394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Next meeting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7E4C" w14:textId="77777777" w:rsidR="00AC2394" w:rsidRDefault="00AC2394" w:rsidP="00AC239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Values</w:t>
            </w:r>
          </w:p>
          <w:p w14:paraId="42FA477F" w14:textId="77777777" w:rsidR="00AC2394" w:rsidRDefault="00AC2394" w:rsidP="00AC239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Data from local industry</w:t>
            </w:r>
          </w:p>
          <w:p w14:paraId="79EE9EC4" w14:textId="316D49EE" w:rsidR="00AC2394" w:rsidRPr="00AC2394" w:rsidRDefault="00AC2394" w:rsidP="00AC239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Upcoming Student Su</w:t>
            </w:r>
            <w:r w:rsidR="00BD498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veys</w:t>
            </w:r>
          </w:p>
        </w:tc>
      </w:tr>
    </w:tbl>
    <w:p w14:paraId="4484B921" w14:textId="4D02D85F" w:rsidR="006D7F97" w:rsidRPr="00BD498B" w:rsidRDefault="00BD498B" w:rsidP="0082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Friday, October 9. 2020, 9:30am – 11:00am</w:t>
      </w:r>
    </w:p>
    <w:sectPr w:rsidR="006D7F97" w:rsidRPr="00BD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445E1"/>
    <w:multiLevelType w:val="hybridMultilevel"/>
    <w:tmpl w:val="04E669C0"/>
    <w:lvl w:ilvl="0" w:tplc="0D4CA33E">
      <w:start w:val="2"/>
      <w:numFmt w:val="bullet"/>
      <w:lvlText w:val="-"/>
      <w:lvlJc w:val="left"/>
      <w:pPr>
        <w:ind w:left="90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60676FA"/>
    <w:multiLevelType w:val="hybridMultilevel"/>
    <w:tmpl w:val="EA6E0664"/>
    <w:lvl w:ilvl="0" w:tplc="CBF40068">
      <w:start w:val="2"/>
      <w:numFmt w:val="bullet"/>
      <w:lvlText w:val="-"/>
      <w:lvlJc w:val="left"/>
      <w:pPr>
        <w:ind w:left="90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BBC4EAD"/>
    <w:multiLevelType w:val="hybridMultilevel"/>
    <w:tmpl w:val="0B32C8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02B6A14"/>
    <w:multiLevelType w:val="hybridMultilevel"/>
    <w:tmpl w:val="0F3235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D617F"/>
    <w:rsid w:val="001335F4"/>
    <w:rsid w:val="0013664D"/>
    <w:rsid w:val="001912F0"/>
    <w:rsid w:val="00223062"/>
    <w:rsid w:val="00237FC6"/>
    <w:rsid w:val="00277A2B"/>
    <w:rsid w:val="002D594B"/>
    <w:rsid w:val="002F635B"/>
    <w:rsid w:val="003536BA"/>
    <w:rsid w:val="00361BAD"/>
    <w:rsid w:val="00377F65"/>
    <w:rsid w:val="0039073E"/>
    <w:rsid w:val="00393580"/>
    <w:rsid w:val="0039443A"/>
    <w:rsid w:val="003B0B6A"/>
    <w:rsid w:val="003D6F6A"/>
    <w:rsid w:val="004366AA"/>
    <w:rsid w:val="00502D3C"/>
    <w:rsid w:val="0050530E"/>
    <w:rsid w:val="00544654"/>
    <w:rsid w:val="005C563F"/>
    <w:rsid w:val="0063407E"/>
    <w:rsid w:val="00697E53"/>
    <w:rsid w:val="006A1974"/>
    <w:rsid w:val="006A7159"/>
    <w:rsid w:val="006D7F97"/>
    <w:rsid w:val="00700711"/>
    <w:rsid w:val="0075575B"/>
    <w:rsid w:val="007668F9"/>
    <w:rsid w:val="00775163"/>
    <w:rsid w:val="007970F6"/>
    <w:rsid w:val="007E4B1B"/>
    <w:rsid w:val="00827EEC"/>
    <w:rsid w:val="008352EB"/>
    <w:rsid w:val="008437BE"/>
    <w:rsid w:val="00862FD9"/>
    <w:rsid w:val="00864183"/>
    <w:rsid w:val="008860AC"/>
    <w:rsid w:val="00895180"/>
    <w:rsid w:val="008A4E4A"/>
    <w:rsid w:val="008F1793"/>
    <w:rsid w:val="008F2E0B"/>
    <w:rsid w:val="00924B1F"/>
    <w:rsid w:val="0093781E"/>
    <w:rsid w:val="00945548"/>
    <w:rsid w:val="00950B6B"/>
    <w:rsid w:val="009537F8"/>
    <w:rsid w:val="00960A23"/>
    <w:rsid w:val="00962128"/>
    <w:rsid w:val="00983259"/>
    <w:rsid w:val="00A405B8"/>
    <w:rsid w:val="00A45B49"/>
    <w:rsid w:val="00A506F0"/>
    <w:rsid w:val="00A72099"/>
    <w:rsid w:val="00A720E1"/>
    <w:rsid w:val="00A77C15"/>
    <w:rsid w:val="00A901D1"/>
    <w:rsid w:val="00AC2394"/>
    <w:rsid w:val="00B04052"/>
    <w:rsid w:val="00B063D1"/>
    <w:rsid w:val="00B3279D"/>
    <w:rsid w:val="00B32B92"/>
    <w:rsid w:val="00B712CC"/>
    <w:rsid w:val="00BB0441"/>
    <w:rsid w:val="00BD498B"/>
    <w:rsid w:val="00BE318E"/>
    <w:rsid w:val="00C26B3E"/>
    <w:rsid w:val="00C92458"/>
    <w:rsid w:val="00CA613A"/>
    <w:rsid w:val="00CC27DC"/>
    <w:rsid w:val="00CE0C7E"/>
    <w:rsid w:val="00D451CE"/>
    <w:rsid w:val="00D63212"/>
    <w:rsid w:val="00DB2B1C"/>
    <w:rsid w:val="00E32F14"/>
    <w:rsid w:val="00E37A82"/>
    <w:rsid w:val="00E56F9F"/>
    <w:rsid w:val="00EE796B"/>
    <w:rsid w:val="00EF572B"/>
    <w:rsid w:val="00F01CB1"/>
    <w:rsid w:val="00F07A63"/>
    <w:rsid w:val="00F12B68"/>
    <w:rsid w:val="00FA2144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1068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59CE0-C132-C645-BA6E-8DBB4AC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23</cp:revision>
  <dcterms:created xsi:type="dcterms:W3CDTF">2020-09-25T15:57:00Z</dcterms:created>
  <dcterms:modified xsi:type="dcterms:W3CDTF">2020-09-25T19:18:00Z</dcterms:modified>
</cp:coreProperties>
</file>