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A529F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Data Owners Group</w:t>
      </w:r>
    </w:p>
    <w:p w:rsidR="00BB73FD" w:rsidRPr="00BB73FD" w:rsidRDefault="00832F1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Tuesday, </w:t>
      </w:r>
      <w:r w:rsidR="00FD2FCD">
        <w:rPr>
          <w:rFonts w:ascii="Adobe Devanagari" w:hAnsi="Adobe Devanagari" w:cs="Adobe Devanagari"/>
        </w:rPr>
        <w:t>February 27, 2018</w:t>
      </w:r>
      <w:r w:rsidR="00BB73FD" w:rsidRPr="00BB73FD">
        <w:rPr>
          <w:rFonts w:ascii="Adobe Devanagari" w:hAnsi="Adobe Devanagari" w:cs="Adobe Devanagari"/>
        </w:rPr>
        <w:br/>
      </w:r>
      <w:r w:rsidR="00A529FE">
        <w:rPr>
          <w:rFonts w:ascii="Adobe Devanagari" w:hAnsi="Adobe Devanagari" w:cs="Adobe Devanagari"/>
        </w:rPr>
        <w:t>9:00 – 10:0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5A72E1">
        <w:rPr>
          <w:rFonts w:ascii="Adobe Devanagari" w:hAnsi="Adobe Devanagari" w:cs="Adobe Devanagari"/>
        </w:rPr>
        <w:t>Boardroom</w:t>
      </w:r>
      <w:r w:rsidR="00825DEB">
        <w:rPr>
          <w:rFonts w:ascii="Adobe Devanagari" w:hAnsi="Adobe Devanagari" w:cs="Adobe Devanagari"/>
        </w:rPr>
        <w:t>/WebEx</w:t>
      </w:r>
    </w:p>
    <w:p w:rsidR="000F6F7E" w:rsidRDefault="00BB73FD" w:rsidP="000F6F7E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  <w:r w:rsidR="000F6F7E">
        <w:rPr>
          <w:rFonts w:ascii="Adobe Devanagari" w:hAnsi="Adobe Devanagari" w:cs="Adobe Devanagari"/>
          <w:b/>
        </w:rPr>
        <w:t>/Minutes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A529FE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A529FE">
        <w:rPr>
          <w:rFonts w:ascii="Adobe Devanagari" w:hAnsi="Adobe Devanagari" w:cs="Adobe Devanagari"/>
        </w:rPr>
        <w:t>Discuss Datatel and data related concerns with all stakeholders across the District</w:t>
      </w:r>
    </w:p>
    <w:p w:rsidR="00FD2FCD" w:rsidRDefault="004A788B" w:rsidP="00FD2FCD">
      <w:pPr>
        <w:spacing w:after="0"/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FD2FCD">
        <w:rPr>
          <w:rFonts w:ascii="Adobe Devanagari" w:hAnsi="Adobe Devanagari" w:cs="Adobe Devanagari"/>
        </w:rPr>
        <w:t xml:space="preserve">Awareness of: (1) SQL Go Live Dates. </w:t>
      </w:r>
    </w:p>
    <w:p w:rsidR="00FD2FCD" w:rsidRDefault="00FD2FCD" w:rsidP="00FD2FCD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Discussion on (1) Printing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4649"/>
        <w:gridCol w:w="3087"/>
      </w:tblGrid>
      <w:tr w:rsidR="00605D1B" w:rsidTr="00E23A5B">
        <w:tc>
          <w:tcPr>
            <w:tcW w:w="1614" w:type="dxa"/>
          </w:tcPr>
          <w:p w:rsidR="00605D1B" w:rsidRDefault="00BB7B9C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b/>
              </w:rPr>
              <w:t>Preparation Required:</w:t>
            </w:r>
            <w:r w:rsidR="00FD2FCD">
              <w:rPr>
                <w:rFonts w:ascii="Adobe Devanagari" w:hAnsi="Adobe Devanagari" w:cs="Adobe Devanagari"/>
                <w:b/>
              </w:rPr>
              <w:t xml:space="preserve"> NONE</w:t>
            </w:r>
            <w:r w:rsidR="00605D1B">
              <w:rPr>
                <w:rFonts w:ascii="Adobe Devanagari" w:hAnsi="Adobe Devanagari" w:cs="Adobe Devanagari"/>
                <w:b/>
              </w:rPr>
              <w:br/>
            </w:r>
            <w:r w:rsidR="00605D1B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649" w:type="dxa"/>
          </w:tcPr>
          <w:p w:rsidR="00B129ED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 purpose &amp; outcomes</w:t>
            </w:r>
          </w:p>
          <w:p w:rsidR="00605D1B" w:rsidRDefault="00B129ED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Agenda</w:t>
            </w:r>
            <w:r w:rsidR="00605D1B">
              <w:rPr>
                <w:rFonts w:ascii="Adobe Devanagari" w:hAnsi="Adobe Devanagari" w:cs="Adobe Devanagari"/>
              </w:rPr>
              <w:t xml:space="preserve"> </w:t>
            </w:r>
          </w:p>
        </w:tc>
        <w:tc>
          <w:tcPr>
            <w:tcW w:w="3087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2C3DDE">
              <w:rPr>
                <w:rFonts w:ascii="Adobe Devanagari" w:hAnsi="Adobe Devanagari" w:cs="Adobe Devanagari"/>
              </w:rPr>
              <w:t>:00am</w:t>
            </w:r>
            <w:r>
              <w:rPr>
                <w:rFonts w:ascii="Adobe Devanagari" w:hAnsi="Adobe Devanagari" w:cs="Adobe Devanagari"/>
              </w:rPr>
              <w:t>-9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E23A5B">
        <w:tc>
          <w:tcPr>
            <w:tcW w:w="1614" w:type="dxa"/>
          </w:tcPr>
          <w:p w:rsidR="00605D1B" w:rsidRDefault="00E23A5B" w:rsidP="00C3750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SQL Go-Live </w:t>
            </w:r>
          </w:p>
        </w:tc>
        <w:tc>
          <w:tcPr>
            <w:tcW w:w="4649" w:type="dxa"/>
          </w:tcPr>
          <w:p w:rsidR="00BB73FD" w:rsidRDefault="00E23A5B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Confirm Go Live Dates: 3/9-3/12</w:t>
            </w:r>
          </w:p>
          <w:p w:rsidR="001D6BB9" w:rsidRDefault="001D6BB9" w:rsidP="00FD2FCD">
            <w:pPr>
              <w:rPr>
                <w:rFonts w:ascii="Adobe Devanagari" w:hAnsi="Adobe Devanagari" w:cs="Adobe Devanagari"/>
              </w:rPr>
            </w:pPr>
            <w:r w:rsidRPr="001D6BB9">
              <w:rPr>
                <w:rFonts w:ascii="Adobe Devanagari" w:hAnsi="Adobe Devanagari" w:cs="Adobe Devanagari"/>
                <w:b/>
                <w:highlight w:val="yellow"/>
              </w:rPr>
              <w:t>Notes:</w:t>
            </w:r>
            <w:r>
              <w:rPr>
                <w:rFonts w:ascii="Adobe Devanagari" w:hAnsi="Adobe Devanagari" w:cs="Adobe Devanagari"/>
              </w:rPr>
              <w:t xml:space="preserve"> 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Thursday, 3/8 10am - Last call for batch jobs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Thursday, 3/8 4pm -New logins will be shut off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Thursday, 3/8 5pm – Any remaining sessions will be aborted.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Thursday, 3/8 7pm – Migration begins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Sunday, 3/11 – Users allowed to come in test.  Arrange ahead of time with Tom Cossey if you want to come in on Sunday.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Monday, 3/12 – Licenses transferred from old system to new system.  No going back.</w:t>
            </w:r>
          </w:p>
          <w:p w:rsidR="00FD2FCD" w:rsidRDefault="00FD2FCD" w:rsidP="00FD2FC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Tuesday, 3/13 – All users able to log in</w:t>
            </w:r>
          </w:p>
        </w:tc>
        <w:tc>
          <w:tcPr>
            <w:tcW w:w="3087" w:type="dxa"/>
          </w:tcPr>
          <w:p w:rsidR="00605D1B" w:rsidRDefault="00E23A5B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9:0</w:t>
            </w:r>
            <w:r w:rsidR="00C3750F">
              <w:rPr>
                <w:rFonts w:ascii="Adobe Devanagari" w:hAnsi="Adobe Devanagari" w:cs="Adobe Devanagari"/>
              </w:rPr>
              <w:t>5</w:t>
            </w:r>
            <w:r w:rsidR="002C3DDE">
              <w:rPr>
                <w:rFonts w:ascii="Adobe Devanagari" w:hAnsi="Adobe Devanagari" w:cs="Adobe Devanagari"/>
              </w:rPr>
              <w:t>am-</w:t>
            </w:r>
            <w:r>
              <w:rPr>
                <w:rFonts w:ascii="Adobe Devanagari" w:hAnsi="Adobe Devanagari" w:cs="Adobe Devanagari"/>
              </w:rPr>
              <w:t>9:10</w:t>
            </w:r>
            <w:r w:rsidR="00F91393">
              <w:rPr>
                <w:rFonts w:ascii="Adobe Devanagari" w:hAnsi="Adobe Devanagari" w:cs="Adobe Devanagari"/>
              </w:rPr>
              <w:t>am</w:t>
            </w:r>
          </w:p>
        </w:tc>
      </w:tr>
      <w:tr w:rsidR="00BB73FD" w:rsidTr="00E23A5B">
        <w:tc>
          <w:tcPr>
            <w:tcW w:w="1614" w:type="dxa"/>
          </w:tcPr>
          <w:p w:rsidR="00BB73FD" w:rsidRDefault="00FD2FC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Printing</w:t>
            </w:r>
          </w:p>
        </w:tc>
        <w:tc>
          <w:tcPr>
            <w:tcW w:w="4649" w:type="dxa"/>
          </w:tcPr>
          <w:p w:rsidR="001D6BB9" w:rsidRDefault="00FD2FCD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printing issues in new SQL environment</w:t>
            </w:r>
          </w:p>
          <w:p w:rsidR="00FD2FCD" w:rsidRDefault="00FD2FCD" w:rsidP="00BB73FD">
            <w:pPr>
              <w:rPr>
                <w:rFonts w:ascii="Adobe Devanagari" w:hAnsi="Adobe Devanagari" w:cs="Adobe Devanagari"/>
              </w:rPr>
            </w:pPr>
            <w:r w:rsidRPr="00FD2FCD">
              <w:rPr>
                <w:rFonts w:ascii="Adobe Devanagari" w:hAnsi="Adobe Devanagari" w:cs="Adobe Devanagari"/>
                <w:highlight w:val="yellow"/>
              </w:rPr>
              <w:t>Notes:</w:t>
            </w:r>
            <w:r>
              <w:rPr>
                <w:rFonts w:ascii="Adobe Devanagari" w:hAnsi="Adobe Devanagari" w:cs="Adobe Devanagari"/>
              </w:rPr>
              <w:t xml:space="preserve">  Recent discovery that formatting software for printing from Datatel will not work in new environment.   Special forms (Purchase Orders) will need new template created by SoftDocs.   </w:t>
            </w:r>
            <w:r w:rsidR="000F6F7E">
              <w:rPr>
                <w:rFonts w:ascii="Adobe Devanagari" w:hAnsi="Adobe Devanagari" w:cs="Adobe Devanagari"/>
              </w:rPr>
              <w:t>Otherwise, send report to “Hold” and print to PDF.</w:t>
            </w:r>
          </w:p>
        </w:tc>
        <w:tc>
          <w:tcPr>
            <w:tcW w:w="3087" w:type="dxa"/>
          </w:tcPr>
          <w:p w:rsidR="00BB73FD" w:rsidRDefault="00E23A5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9:1</w:t>
            </w:r>
            <w:r w:rsidR="00C3750F">
              <w:rPr>
                <w:rFonts w:ascii="Adobe Devanagari" w:hAnsi="Adobe Devanagari" w:cs="Adobe Devanagari"/>
              </w:rPr>
              <w:t>0</w:t>
            </w:r>
            <w:r w:rsidR="00F91393">
              <w:rPr>
                <w:rFonts w:ascii="Adobe Devanagari" w:hAnsi="Adobe Devanagari" w:cs="Adobe Devanagari"/>
              </w:rPr>
              <w:t>am</w:t>
            </w:r>
            <w:r w:rsidR="00721B53">
              <w:rPr>
                <w:rFonts w:ascii="Adobe Devanagari" w:hAnsi="Adobe Devanagari" w:cs="Adobe Devanagari"/>
              </w:rPr>
              <w:t>-</w:t>
            </w:r>
            <w:r>
              <w:rPr>
                <w:rFonts w:ascii="Adobe Devanagari" w:hAnsi="Adobe Devanagari" w:cs="Adobe Devanagari"/>
              </w:rPr>
              <w:t>9:30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E23A5B" w:rsidTr="00E23A5B">
        <w:tc>
          <w:tcPr>
            <w:tcW w:w="1614" w:type="dxa"/>
          </w:tcPr>
          <w:p w:rsidR="00E23A5B" w:rsidRDefault="000F6F7E" w:rsidP="000F6F7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SARS/SARS TRAK</w:t>
            </w:r>
          </w:p>
        </w:tc>
        <w:tc>
          <w:tcPr>
            <w:tcW w:w="4649" w:type="dxa"/>
          </w:tcPr>
          <w:p w:rsidR="00E23A5B" w:rsidRDefault="000F6F7E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SARS and SARS-TRAK will be down today from 4pm until end of day for update from SARS.</w:t>
            </w:r>
          </w:p>
          <w:p w:rsidR="00E23A5B" w:rsidRDefault="00E23A5B" w:rsidP="001D6BB9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9:30am-9:55am</w:t>
            </w:r>
          </w:p>
        </w:tc>
      </w:tr>
      <w:tr w:rsidR="00E23A5B" w:rsidTr="00E23A5B">
        <w:tc>
          <w:tcPr>
            <w:tcW w:w="1614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lastRenderedPageBreak/>
              <w:t>Future Agenda Items</w:t>
            </w:r>
          </w:p>
        </w:tc>
        <w:tc>
          <w:tcPr>
            <w:tcW w:w="4649" w:type="dxa"/>
          </w:tcPr>
          <w:p w:rsidR="009F2C87" w:rsidRPr="001D6BB9" w:rsidRDefault="009F2C87" w:rsidP="00E23A5B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9:55am-10:00am</w:t>
            </w:r>
          </w:p>
        </w:tc>
      </w:tr>
      <w:tr w:rsidR="00E23A5B" w:rsidTr="00E23A5B">
        <w:tc>
          <w:tcPr>
            <w:tcW w:w="1614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4649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Confirm understanding &amp; agreement on outcomes</w:t>
            </w:r>
          </w:p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Evaluate meeting</w:t>
            </w:r>
          </w:p>
        </w:tc>
        <w:tc>
          <w:tcPr>
            <w:tcW w:w="3087" w:type="dxa"/>
          </w:tcPr>
          <w:p w:rsidR="00E23A5B" w:rsidRDefault="00E23A5B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9:55am-10:00am</w:t>
            </w:r>
          </w:p>
        </w:tc>
      </w:tr>
    </w:tbl>
    <w:p w:rsidR="005734C8" w:rsidRPr="005734C8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p w:rsidR="009F2C87" w:rsidRPr="00185B0E" w:rsidRDefault="009F2C87" w:rsidP="009F2C87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In attendance:</w:t>
      </w:r>
      <w:r w:rsidRPr="00F40A3E">
        <w:rPr>
          <w:rFonts w:ascii="Adobe Devanagari" w:hAnsi="Adobe Devanagari" w:cs="Adobe Devanagari"/>
        </w:rPr>
        <w:t xml:space="preserve"> </w:t>
      </w:r>
      <w:r w:rsidRPr="009F2C87">
        <w:rPr>
          <w:rFonts w:ascii="Adobe Devanagari" w:hAnsi="Adobe Devanagari" w:cs="Adobe Devanagari"/>
        </w:rPr>
        <w:t xml:space="preserve">Hays, James; Cossey, Tom ; Chown, Paul; Seher, Kristy; Schmitcke, Tiffany;  Mendenhall, Hart;  Duffy, Anna; Barber, Ericka; Jose Serrano; Bareilles Heidi, </w:t>
      </w:r>
      <w:r w:rsidR="00FD2FCD">
        <w:rPr>
          <w:rFonts w:ascii="Adobe Devanagari" w:hAnsi="Adobe Devanagari" w:cs="Adobe Devanagari"/>
        </w:rPr>
        <w:t>C</w:t>
      </w:r>
      <w:r w:rsidRPr="009F2C87">
        <w:rPr>
          <w:rFonts w:ascii="Adobe Devanagari" w:hAnsi="Adobe Devanagari" w:cs="Adobe Devanagari"/>
        </w:rPr>
        <w:t xml:space="preserve">ockrum, Shereen; Vaughan, Tina; </w:t>
      </w:r>
      <w:r>
        <w:rPr>
          <w:rFonts w:ascii="Adobe Devanagari" w:hAnsi="Adobe Devanagari" w:cs="Adobe Devanagari"/>
        </w:rPr>
        <w:t xml:space="preserve">Hash, Joe;  </w:t>
      </w:r>
    </w:p>
    <w:p w:rsidR="000F6F7E" w:rsidRDefault="000F6F7E" w:rsidP="009F2C87">
      <w:pPr>
        <w:spacing w:after="0" w:line="240" w:lineRule="auto"/>
        <w:rPr>
          <w:rFonts w:ascii="Adobe Devanagari" w:hAnsi="Adobe Devanagari" w:cs="Adobe Devanagari"/>
        </w:rPr>
      </w:pPr>
    </w:p>
    <w:p w:rsidR="009F2C87" w:rsidRPr="00185B0E" w:rsidRDefault="00FD2FCD" w:rsidP="009F2C87">
      <w:pPr>
        <w:spacing w:after="0" w:line="240" w:lineRule="auto"/>
        <w:rPr>
          <w:rFonts w:ascii="Adobe Devanagari" w:hAnsi="Adobe Devanagari" w:cs="Adobe Devanagari"/>
        </w:rPr>
      </w:pPr>
      <w:bookmarkStart w:id="0" w:name="_GoBack"/>
      <w:bookmarkEnd w:id="0"/>
      <w:r>
        <w:rPr>
          <w:rFonts w:ascii="Adobe Devanagari" w:hAnsi="Adobe Devanagari" w:cs="Adobe Devanagari"/>
        </w:rPr>
        <w:t>By phone: Johnson, Kintay; Ratliffe, Prudence</w:t>
      </w:r>
    </w:p>
    <w:p w:rsidR="003223F7" w:rsidRPr="003223F7" w:rsidRDefault="003223F7" w:rsidP="003223F7">
      <w:pPr>
        <w:spacing w:after="0"/>
        <w:rPr>
          <w:rFonts w:ascii="Arial" w:hAnsi="Arial" w:cs="Arial"/>
        </w:rPr>
      </w:pPr>
    </w:p>
    <w:p w:rsidR="005734C8" w:rsidRPr="00185B0E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sectPr w:rsidR="005734C8" w:rsidRPr="0018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C1809"/>
    <w:rsid w:val="000F6F7E"/>
    <w:rsid w:val="00185B0E"/>
    <w:rsid w:val="001D6BB9"/>
    <w:rsid w:val="00255352"/>
    <w:rsid w:val="002C3DDE"/>
    <w:rsid w:val="003223F7"/>
    <w:rsid w:val="004A788B"/>
    <w:rsid w:val="005734C8"/>
    <w:rsid w:val="005A72E1"/>
    <w:rsid w:val="00605D1B"/>
    <w:rsid w:val="0067598E"/>
    <w:rsid w:val="006D1B44"/>
    <w:rsid w:val="00721B53"/>
    <w:rsid w:val="007E4210"/>
    <w:rsid w:val="00825DEB"/>
    <w:rsid w:val="00832F1C"/>
    <w:rsid w:val="009D0DC0"/>
    <w:rsid w:val="009F2C87"/>
    <w:rsid w:val="00A529FE"/>
    <w:rsid w:val="00B129ED"/>
    <w:rsid w:val="00B571C8"/>
    <w:rsid w:val="00BB73FD"/>
    <w:rsid w:val="00BB7B9C"/>
    <w:rsid w:val="00C367BD"/>
    <w:rsid w:val="00C3750F"/>
    <w:rsid w:val="00E23A5B"/>
    <w:rsid w:val="00E3599B"/>
    <w:rsid w:val="00F91393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0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8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1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8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0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0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38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83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8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7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9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53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7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CE93-B047-467A-93EB-16AEDF87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2017-11-29T21:21:00Z</dcterms:created>
  <dcterms:modified xsi:type="dcterms:W3CDTF">2018-02-27T19:32:00Z</dcterms:modified>
</cp:coreProperties>
</file>