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bookmarkStart w:id="0" w:name="_GoBack"/>
      <w:bookmarkEnd w:id="0"/>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9812EB">
        <w:rPr>
          <w:rFonts w:ascii="Adobe Devanagari" w:hAnsi="Adobe Devanagari" w:cs="Adobe Devanagari"/>
          <w:b/>
        </w:rPr>
        <w:t xml:space="preserve"> Minutes</w:t>
      </w:r>
    </w:p>
    <w:p w:rsidR="00814662" w:rsidRDefault="00873793" w:rsidP="00BB73FD">
      <w:pPr>
        <w:spacing w:after="0" w:line="240" w:lineRule="auto"/>
        <w:jc w:val="center"/>
        <w:rPr>
          <w:rFonts w:ascii="Adobe Devanagari" w:hAnsi="Adobe Devanagari" w:cs="Adobe Devanagari"/>
        </w:rPr>
      </w:pPr>
      <w:r>
        <w:rPr>
          <w:rFonts w:ascii="Adobe Devanagari" w:hAnsi="Adobe Devanagari" w:cs="Adobe Devanagari"/>
        </w:rPr>
        <w:t>November 18, 2021</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9812EB" w:rsidRDefault="002D43FB" w:rsidP="00102E50">
      <w:pPr>
        <w:spacing w:after="0" w:line="240" w:lineRule="auto"/>
        <w:jc w:val="center"/>
        <w:rPr>
          <w:rFonts w:ascii="Adobe Devanagari" w:hAnsi="Adobe Devanagari" w:cs="Adobe Devanagari"/>
        </w:rPr>
      </w:pPr>
      <w:hyperlink r:id="rId6" w:history="1">
        <w:r w:rsidR="009812EB" w:rsidRPr="00173CB8">
          <w:rPr>
            <w:rStyle w:val="Hyperlink"/>
            <w:rFonts w:ascii="Adobe Devanagari" w:hAnsi="Adobe Devanagari" w:cs="Adobe Devanagari"/>
          </w:rPr>
          <w:t>https://redwoods-edu.zoom.us/j/92961710047?pwd=WXRYNHFNcmhYOC9wN3JUdTdWR1l1Zz09</w:t>
        </w:r>
      </w:hyperlink>
    </w:p>
    <w:tbl>
      <w:tblPr>
        <w:tblStyle w:val="TableGrid"/>
        <w:tblpPr w:leftFromText="180" w:rightFromText="180" w:vertAnchor="text" w:horzAnchor="page" w:tblpX="751" w:tblpY="790"/>
        <w:tblW w:w="9895" w:type="dxa"/>
        <w:tblLook w:val="04A0" w:firstRow="1" w:lastRow="0" w:firstColumn="1" w:lastColumn="0" w:noHBand="0" w:noVBand="1"/>
      </w:tblPr>
      <w:tblGrid>
        <w:gridCol w:w="8678"/>
        <w:gridCol w:w="1217"/>
      </w:tblGrid>
      <w:tr w:rsidR="007A24AF" w:rsidRPr="00CC2C85" w:rsidTr="00102E50">
        <w:trPr>
          <w:trHeight w:val="350"/>
        </w:trPr>
        <w:tc>
          <w:tcPr>
            <w:tcW w:w="8815" w:type="dxa"/>
          </w:tcPr>
          <w:p w:rsidR="007A24AF" w:rsidRPr="00CC2C85" w:rsidRDefault="007A24AF" w:rsidP="007A24AF">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080" w:type="dxa"/>
          </w:tcPr>
          <w:p w:rsidR="007A24AF" w:rsidRPr="00CC2C85" w:rsidRDefault="007A24AF" w:rsidP="007A24AF">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r>
      <w:tr w:rsidR="007A24AF" w:rsidTr="007A24AF">
        <w:trPr>
          <w:trHeight w:val="853"/>
        </w:trPr>
        <w:tc>
          <w:tcPr>
            <w:tcW w:w="8815" w:type="dxa"/>
          </w:tcPr>
          <w:p w:rsidR="007A24AF" w:rsidRDefault="007A24AF" w:rsidP="007A24AF">
            <w:pPr>
              <w:pStyle w:val="ListParagraph"/>
              <w:ind w:left="0"/>
              <w:rPr>
                <w:rFonts w:ascii="Adobe Devanagari" w:hAnsi="Adobe Devanagari" w:cs="Adobe Devanagari"/>
                <w:b/>
              </w:rPr>
            </w:pPr>
            <w:r w:rsidRPr="00873793">
              <w:rPr>
                <w:rFonts w:ascii="Adobe Devanagari" w:hAnsi="Adobe Devanagari" w:cs="Adobe Devanagari"/>
                <w:b/>
              </w:rPr>
              <w:t>Canvas Teachers Assistant role and new Co-Teacher role</w:t>
            </w:r>
          </w:p>
          <w:p w:rsidR="007A24AF" w:rsidRDefault="007A24AF" w:rsidP="00102E50">
            <w:pPr>
              <w:pStyle w:val="ListParagraph"/>
              <w:ind w:left="0"/>
              <w:rPr>
                <w:rFonts w:ascii="Adobe Devanagari" w:hAnsi="Adobe Devanagari" w:cs="Adobe Devanagari"/>
                <w:b/>
              </w:rPr>
            </w:pPr>
            <w:r>
              <w:rPr>
                <w:rFonts w:ascii="Adobe Devanagari" w:hAnsi="Adobe Devanagari" w:cs="Adobe Devanagari"/>
              </w:rPr>
              <w:t xml:space="preserve">Reno discussed roles in Canvas to allow instructors to assign another individual to grade work, but make no changes.  The default in Canvas is Teaching Assistant (TA). He would like to disable the TA role and create a co-teacher role.  The Co-Teacher will have no access to the grade book unless they are a paid employee. </w:t>
            </w:r>
            <w:r w:rsidR="00102E50">
              <w:rPr>
                <w:rFonts w:ascii="Adobe Devanagari" w:hAnsi="Adobe Devanagari" w:cs="Adobe Devanagari"/>
              </w:rPr>
              <w:t xml:space="preserve"> Todd stated that part of the problem is the name, and suggested using the term evaluator.</w:t>
            </w:r>
          </w:p>
        </w:tc>
        <w:tc>
          <w:tcPr>
            <w:tcW w:w="1080" w:type="dxa"/>
          </w:tcPr>
          <w:p w:rsidR="007A24AF" w:rsidRPr="007A24AF" w:rsidRDefault="007A24AF" w:rsidP="007A24AF">
            <w:pPr>
              <w:pStyle w:val="ListParagraph"/>
              <w:ind w:left="0"/>
              <w:rPr>
                <w:rFonts w:ascii="Adobe Devanagari" w:hAnsi="Adobe Devanagari" w:cs="Adobe Devanagari"/>
                <w:b/>
              </w:rPr>
            </w:pPr>
            <w:r w:rsidRPr="007A24AF">
              <w:rPr>
                <w:rFonts w:ascii="Adobe Devanagari" w:hAnsi="Adobe Devanagari" w:cs="Adobe Devanagari"/>
                <w:b/>
              </w:rPr>
              <w:t>Reno</w:t>
            </w:r>
          </w:p>
        </w:tc>
      </w:tr>
      <w:tr w:rsidR="007A24AF" w:rsidTr="007A24AF">
        <w:trPr>
          <w:trHeight w:val="437"/>
        </w:trPr>
        <w:tc>
          <w:tcPr>
            <w:tcW w:w="8815" w:type="dxa"/>
          </w:tcPr>
          <w:p w:rsidR="007A24AF" w:rsidRDefault="007A24AF" w:rsidP="007A24AF">
            <w:pPr>
              <w:pStyle w:val="ListParagraph"/>
              <w:ind w:left="0"/>
              <w:rPr>
                <w:rFonts w:ascii="Adobe Devanagari" w:hAnsi="Adobe Devanagari" w:cs="Adobe Devanagari"/>
                <w:b/>
              </w:rPr>
            </w:pPr>
            <w:r w:rsidRPr="00873793">
              <w:rPr>
                <w:rFonts w:ascii="Adobe Devanagari" w:hAnsi="Adobe Devanagari" w:cs="Adobe Devanagari"/>
                <w:b/>
              </w:rPr>
              <w:t>Canvas Enro</w:t>
            </w:r>
            <w:r w:rsidR="00AB7A3C">
              <w:rPr>
                <w:rFonts w:ascii="Adobe Devanagari" w:hAnsi="Adobe Devanagari" w:cs="Adobe Devanagari"/>
                <w:b/>
              </w:rPr>
              <w:t>l</w:t>
            </w:r>
            <w:r w:rsidRPr="00873793">
              <w:rPr>
                <w:rFonts w:ascii="Adobe Devanagari" w:hAnsi="Adobe Devanagari" w:cs="Adobe Devanagari"/>
                <w:b/>
              </w:rPr>
              <w:t>lment Status: Inactive enrol</w:t>
            </w:r>
            <w:r w:rsidR="00AB7A3C">
              <w:rPr>
                <w:rFonts w:ascii="Adobe Devanagari" w:hAnsi="Adobe Devanagari" w:cs="Adobe Devanagari"/>
                <w:b/>
              </w:rPr>
              <w:t>l</w:t>
            </w:r>
            <w:r w:rsidRPr="00873793">
              <w:rPr>
                <w:rFonts w:ascii="Adobe Devanagari" w:hAnsi="Adobe Devanagari" w:cs="Adobe Devanagari"/>
                <w:b/>
              </w:rPr>
              <w:t>ments Vs removal</w:t>
            </w:r>
          </w:p>
          <w:p w:rsidR="00AB7A3C" w:rsidRDefault="00AB7A3C" w:rsidP="00102E50">
            <w:pPr>
              <w:pStyle w:val="ListParagraph"/>
              <w:ind w:left="0"/>
              <w:rPr>
                <w:rFonts w:ascii="Adobe Devanagari" w:hAnsi="Adobe Devanagari" w:cs="Adobe Devanagari"/>
                <w:b/>
              </w:rPr>
            </w:pPr>
            <w:r>
              <w:rPr>
                <w:rFonts w:ascii="Adobe Devanagari" w:hAnsi="Adobe Devanagari" w:cs="Adobe Devanagari"/>
              </w:rPr>
              <w:t xml:space="preserve">Reno discussed the active enrollment status in </w:t>
            </w:r>
            <w:proofErr w:type="spellStart"/>
            <w:r>
              <w:rPr>
                <w:rFonts w:ascii="Adobe Devanagari" w:hAnsi="Adobe Devanagari" w:cs="Adobe Devanagari"/>
              </w:rPr>
              <w:t>Datatel</w:t>
            </w:r>
            <w:proofErr w:type="spellEnd"/>
            <w:r>
              <w:rPr>
                <w:rFonts w:ascii="Adobe Devanagari" w:hAnsi="Adobe Devanagari" w:cs="Adobe Devanagari"/>
              </w:rPr>
              <w:t xml:space="preserve">.  Currently, instructors are unable to temporarily deactivate a student for behavioral issues (BIT). </w:t>
            </w:r>
            <w:r w:rsidR="008530B5">
              <w:rPr>
                <w:rFonts w:ascii="Adobe Devanagari" w:hAnsi="Adobe Devanagari" w:cs="Adobe Devanagari"/>
              </w:rPr>
              <w:t xml:space="preserve">Tom suggested creation of a restriction code in </w:t>
            </w:r>
            <w:proofErr w:type="spellStart"/>
            <w:r w:rsidR="008530B5">
              <w:rPr>
                <w:rFonts w:ascii="Adobe Devanagari" w:hAnsi="Adobe Devanagari" w:cs="Adobe Devanagari"/>
              </w:rPr>
              <w:t>Datatel</w:t>
            </w:r>
            <w:proofErr w:type="spellEnd"/>
            <w:r w:rsidR="008530B5">
              <w:rPr>
                <w:rFonts w:ascii="Adobe Devanagari" w:hAnsi="Adobe Devanagari" w:cs="Adobe Devanagari"/>
              </w:rPr>
              <w:t xml:space="preserve"> that has a start and end date.</w:t>
            </w:r>
            <w:r w:rsidR="00102E50">
              <w:rPr>
                <w:rFonts w:ascii="Adobe Devanagari" w:hAnsi="Adobe Devanagari" w:cs="Adobe Devanagari"/>
              </w:rPr>
              <w:t xml:space="preserve"> Todd and Darius stated that it is difficult for teachers to control behavior in an online class.</w:t>
            </w:r>
          </w:p>
        </w:tc>
        <w:tc>
          <w:tcPr>
            <w:tcW w:w="1080" w:type="dxa"/>
          </w:tcPr>
          <w:p w:rsidR="007A24AF" w:rsidRDefault="007A24AF" w:rsidP="007A24AF">
            <w:pPr>
              <w:pStyle w:val="ListParagraph"/>
              <w:ind w:left="0"/>
              <w:rPr>
                <w:rFonts w:ascii="Adobe Devanagari" w:hAnsi="Adobe Devanagari" w:cs="Adobe Devanagari"/>
                <w:b/>
              </w:rPr>
            </w:pPr>
            <w:r>
              <w:rPr>
                <w:rFonts w:ascii="Adobe Devanagari" w:hAnsi="Adobe Devanagari" w:cs="Adobe Devanagari"/>
                <w:b/>
              </w:rPr>
              <w:t>Reno/James</w:t>
            </w:r>
          </w:p>
        </w:tc>
      </w:tr>
      <w:tr w:rsidR="007A24AF" w:rsidTr="007A24AF">
        <w:trPr>
          <w:trHeight w:val="853"/>
        </w:trPr>
        <w:tc>
          <w:tcPr>
            <w:tcW w:w="8815" w:type="dxa"/>
          </w:tcPr>
          <w:p w:rsidR="007A24AF" w:rsidRPr="00873793" w:rsidRDefault="007A24AF" w:rsidP="007A24AF">
            <w:pPr>
              <w:pStyle w:val="ListParagraph"/>
              <w:ind w:left="0"/>
              <w:rPr>
                <w:rFonts w:ascii="Adobe Devanagari" w:hAnsi="Adobe Devanagari" w:cs="Adobe Devanagari"/>
                <w:b/>
              </w:rPr>
            </w:pPr>
            <w:r w:rsidRPr="00873793">
              <w:rPr>
                <w:rFonts w:ascii="Adobe Devanagari" w:hAnsi="Adobe Devanagari" w:cs="Adobe Devanagari"/>
                <w:b/>
              </w:rPr>
              <w:t>Canvas data archive of Courses, Users and Attachments.</w:t>
            </w:r>
          </w:p>
          <w:p w:rsidR="007A24AF" w:rsidRDefault="00102E50" w:rsidP="00102E50">
            <w:pPr>
              <w:pStyle w:val="ListParagraph"/>
              <w:ind w:left="0"/>
              <w:rPr>
                <w:rFonts w:ascii="Adobe Devanagari" w:hAnsi="Adobe Devanagari" w:cs="Adobe Devanagari"/>
                <w:b/>
              </w:rPr>
            </w:pPr>
            <w:r>
              <w:rPr>
                <w:rFonts w:ascii="Adobe Devanagari" w:hAnsi="Adobe Devanagari" w:cs="Adobe Devanagari"/>
              </w:rPr>
              <w:t xml:space="preserve">Reno stated that all of the data in Canvas comes from </w:t>
            </w:r>
            <w:proofErr w:type="spellStart"/>
            <w:r>
              <w:rPr>
                <w:rFonts w:ascii="Adobe Devanagari" w:hAnsi="Adobe Devanagari" w:cs="Adobe Devanagari"/>
              </w:rPr>
              <w:t>Datatel</w:t>
            </w:r>
            <w:proofErr w:type="spellEnd"/>
            <w:r>
              <w:rPr>
                <w:rFonts w:ascii="Adobe Devanagari" w:hAnsi="Adobe Devanagari" w:cs="Adobe Devanagari"/>
              </w:rPr>
              <w:t xml:space="preserve"> and they are in sync.   Reno stated the instructor videos are not supposed to be used from semester to semester, because students appear in the video.  Reno was asked to send out a message informing faculty on the Keep Teaching Site.</w:t>
            </w:r>
          </w:p>
        </w:tc>
        <w:tc>
          <w:tcPr>
            <w:tcW w:w="1080" w:type="dxa"/>
          </w:tcPr>
          <w:p w:rsidR="007A24AF" w:rsidRDefault="007A24AF" w:rsidP="007A24AF">
            <w:pPr>
              <w:pStyle w:val="ListParagraph"/>
              <w:ind w:left="0"/>
              <w:rPr>
                <w:rFonts w:ascii="Adobe Devanagari" w:hAnsi="Adobe Devanagari" w:cs="Adobe Devanagari"/>
                <w:b/>
              </w:rPr>
            </w:pPr>
            <w:r>
              <w:rPr>
                <w:rFonts w:ascii="Adobe Devanagari" w:hAnsi="Adobe Devanagari" w:cs="Adobe Devanagari"/>
                <w:b/>
              </w:rPr>
              <w:t>Reno/James</w:t>
            </w:r>
          </w:p>
        </w:tc>
      </w:tr>
      <w:tr w:rsidR="007A24AF" w:rsidTr="007A24AF">
        <w:trPr>
          <w:trHeight w:val="437"/>
        </w:trPr>
        <w:tc>
          <w:tcPr>
            <w:tcW w:w="8815" w:type="dxa"/>
          </w:tcPr>
          <w:p w:rsidR="007A24AF" w:rsidRDefault="007A24AF" w:rsidP="007A24AF">
            <w:pPr>
              <w:pStyle w:val="ListParagraph"/>
              <w:ind w:left="0"/>
              <w:rPr>
                <w:rFonts w:ascii="Adobe Devanagari" w:hAnsi="Adobe Devanagari" w:cs="Adobe Devanagari"/>
                <w:b/>
              </w:rPr>
            </w:pPr>
            <w:r>
              <w:rPr>
                <w:rFonts w:ascii="Adobe Devanagari" w:hAnsi="Adobe Devanagari" w:cs="Adobe Devanagari"/>
                <w:b/>
              </w:rPr>
              <w:t>Zoom Storage</w:t>
            </w:r>
          </w:p>
          <w:p w:rsidR="008530B5" w:rsidRPr="008530B5" w:rsidRDefault="008530B5" w:rsidP="00102E50">
            <w:pPr>
              <w:pStyle w:val="ListParagraph"/>
              <w:ind w:left="0"/>
              <w:rPr>
                <w:rFonts w:ascii="Adobe Devanagari" w:hAnsi="Adobe Devanagari" w:cs="Adobe Devanagari"/>
              </w:rPr>
            </w:pPr>
            <w:r>
              <w:rPr>
                <w:rFonts w:ascii="Adobe Devanagari" w:hAnsi="Adobe Devanagari" w:cs="Adobe Devanagari"/>
              </w:rPr>
              <w:t xml:space="preserve">Jose stated that he received an automated message from Zoom that we have greatly exceeded our storage capacity with Zoom recordings.  Paul suggested downloading and archiving the video.  Darius said from an instructional standpoint, the video could be moved to the Canvas Studio module. Jose said I.T. needs to set up permanent storage space on our end.  </w:t>
            </w:r>
          </w:p>
        </w:tc>
        <w:tc>
          <w:tcPr>
            <w:tcW w:w="1080" w:type="dxa"/>
          </w:tcPr>
          <w:p w:rsidR="007A24AF" w:rsidRDefault="007A24AF" w:rsidP="007A24AF">
            <w:pPr>
              <w:pStyle w:val="ListParagraph"/>
              <w:ind w:left="0"/>
              <w:rPr>
                <w:rFonts w:ascii="Adobe Devanagari" w:hAnsi="Adobe Devanagari" w:cs="Adobe Devanagari"/>
                <w:b/>
              </w:rPr>
            </w:pPr>
            <w:r>
              <w:rPr>
                <w:rFonts w:ascii="Adobe Devanagari" w:hAnsi="Adobe Devanagari" w:cs="Adobe Devanagari"/>
                <w:b/>
              </w:rPr>
              <w:t>Jose/Erik</w:t>
            </w:r>
          </w:p>
        </w:tc>
      </w:tr>
      <w:tr w:rsidR="007A24AF" w:rsidTr="007A24AF">
        <w:trPr>
          <w:trHeight w:val="853"/>
        </w:trPr>
        <w:tc>
          <w:tcPr>
            <w:tcW w:w="8815" w:type="dxa"/>
          </w:tcPr>
          <w:p w:rsidR="007A24AF" w:rsidRDefault="007A24AF" w:rsidP="007A24AF">
            <w:pPr>
              <w:pStyle w:val="ListParagraph"/>
              <w:ind w:left="0"/>
              <w:rPr>
                <w:rFonts w:ascii="Adobe Devanagari" w:hAnsi="Adobe Devanagari" w:cs="Adobe Devanagari"/>
                <w:b/>
              </w:rPr>
            </w:pPr>
            <w:r>
              <w:rPr>
                <w:rFonts w:ascii="Adobe Devanagari" w:hAnsi="Adobe Devanagari" w:cs="Adobe Devanagari"/>
                <w:b/>
              </w:rPr>
              <w:t>Updates, etc.</w:t>
            </w:r>
          </w:p>
          <w:p w:rsidR="008530B5" w:rsidRPr="00102E50" w:rsidRDefault="008530B5" w:rsidP="008530B5">
            <w:pPr>
              <w:pStyle w:val="ListParagraph"/>
              <w:numPr>
                <w:ilvl w:val="0"/>
                <w:numId w:val="20"/>
              </w:numPr>
              <w:rPr>
                <w:rFonts w:ascii="Adobe Devanagari" w:hAnsi="Adobe Devanagari" w:cs="Adobe Devanagari"/>
                <w:b/>
              </w:rPr>
            </w:pPr>
            <w:r>
              <w:rPr>
                <w:rFonts w:ascii="Adobe Devanagari" w:hAnsi="Adobe Devanagari" w:cs="Adobe Devanagari"/>
              </w:rPr>
              <w:t xml:space="preserve">Erik stated the equipment for the boardroom has been ordered and is expected to arrive in February.  Until then, </w:t>
            </w:r>
            <w:r w:rsidR="00102E50">
              <w:rPr>
                <w:rFonts w:ascii="Adobe Devanagari" w:hAnsi="Adobe Devanagari" w:cs="Adobe Devanagari"/>
              </w:rPr>
              <w:t>I.T. will provide a work around for use in the boardroom.</w:t>
            </w:r>
          </w:p>
          <w:p w:rsidR="00102E50" w:rsidRPr="00102E50" w:rsidRDefault="00102E50" w:rsidP="008530B5">
            <w:pPr>
              <w:pStyle w:val="ListParagraph"/>
              <w:numPr>
                <w:ilvl w:val="0"/>
                <w:numId w:val="20"/>
              </w:numPr>
              <w:rPr>
                <w:rFonts w:ascii="Adobe Devanagari" w:hAnsi="Adobe Devanagari" w:cs="Adobe Devanagari"/>
                <w:b/>
              </w:rPr>
            </w:pPr>
            <w:r>
              <w:rPr>
                <w:rFonts w:ascii="Adobe Devanagari" w:hAnsi="Adobe Devanagari" w:cs="Adobe Devanagari"/>
              </w:rPr>
              <w:t>The Microsoft migration has been on hold due to the person Jose has been working with being on vacation.</w:t>
            </w:r>
          </w:p>
          <w:p w:rsidR="00102E50" w:rsidRDefault="00102E50" w:rsidP="008530B5">
            <w:pPr>
              <w:pStyle w:val="ListParagraph"/>
              <w:numPr>
                <w:ilvl w:val="0"/>
                <w:numId w:val="20"/>
              </w:numPr>
              <w:rPr>
                <w:rFonts w:ascii="Adobe Devanagari" w:hAnsi="Adobe Devanagari" w:cs="Adobe Devanagari"/>
                <w:b/>
              </w:rPr>
            </w:pPr>
            <w:r>
              <w:rPr>
                <w:rFonts w:ascii="Adobe Devanagari" w:hAnsi="Adobe Devanagari" w:cs="Adobe Devanagari"/>
              </w:rPr>
              <w:t>The migration of email to the cloud will happen in a couple of weeks, prior to the return of students in the spring semester.</w:t>
            </w:r>
          </w:p>
        </w:tc>
        <w:tc>
          <w:tcPr>
            <w:tcW w:w="1080" w:type="dxa"/>
          </w:tcPr>
          <w:p w:rsidR="007A24AF" w:rsidRDefault="007A24AF" w:rsidP="007A24AF">
            <w:pPr>
              <w:pStyle w:val="ListParagraph"/>
              <w:ind w:left="0"/>
              <w:rPr>
                <w:rFonts w:ascii="Adobe Devanagari" w:hAnsi="Adobe Devanagari" w:cs="Adobe Devanagari"/>
                <w:b/>
              </w:rPr>
            </w:pPr>
          </w:p>
        </w:tc>
      </w:tr>
    </w:tbl>
    <w:p w:rsidR="00605D1B" w:rsidRDefault="009812EB" w:rsidP="00B30753">
      <w:pPr>
        <w:spacing w:after="0" w:line="240" w:lineRule="auto"/>
        <w:rPr>
          <w:rFonts w:ascii="Adobe Devanagari" w:hAnsi="Adobe Devanagari" w:cs="Adobe Devanagari"/>
          <w:b/>
        </w:rPr>
      </w:pPr>
      <w:r>
        <w:rPr>
          <w:rFonts w:ascii="Adobe Devanagari" w:hAnsi="Adobe Devanagari" w:cs="Adobe Devanagari"/>
          <w:b/>
        </w:rPr>
        <w:t>MEMBERS PRESENT:</w:t>
      </w:r>
      <w:r>
        <w:rPr>
          <w:rFonts w:ascii="Adobe Devanagari" w:hAnsi="Adobe Devanagari" w:cs="Adobe Devanagari"/>
        </w:rPr>
        <w:t xml:space="preserve"> Erik Sorenson, Darius </w:t>
      </w:r>
      <w:proofErr w:type="spellStart"/>
      <w:r>
        <w:rPr>
          <w:rFonts w:ascii="Adobe Devanagari" w:hAnsi="Adobe Devanagari" w:cs="Adobe Devanagari"/>
        </w:rPr>
        <w:t>Kalvitus</w:t>
      </w:r>
      <w:proofErr w:type="spellEnd"/>
      <w:r>
        <w:rPr>
          <w:rFonts w:ascii="Adobe Devanagari" w:hAnsi="Adobe Devanagari" w:cs="Adobe Devanagari"/>
        </w:rPr>
        <w:t>, Todd Olsen, Paul Chown, Tom Cossey, Colin Trujillo, Jose Ramirez, Jessica</w:t>
      </w:r>
      <w:r w:rsidR="00B30753">
        <w:rPr>
          <w:rFonts w:ascii="Adobe Devanagari" w:hAnsi="Adobe Devanagari" w:cs="Adobe Devanagari"/>
        </w:rPr>
        <w:t xml:space="preserve"> </w:t>
      </w:r>
      <w:proofErr w:type="spellStart"/>
      <w:r w:rsidR="00B30753">
        <w:rPr>
          <w:rFonts w:ascii="Adobe Devanagari" w:hAnsi="Adobe Devanagari" w:cs="Adobe Devanagari"/>
        </w:rPr>
        <w:t>Herrerra</w:t>
      </w:r>
      <w:proofErr w:type="spellEnd"/>
      <w:r w:rsidR="00B30753">
        <w:rPr>
          <w:rFonts w:ascii="Adobe Devanagari" w:hAnsi="Adobe Devanagari" w:cs="Adobe Devanagari"/>
        </w:rPr>
        <w:t xml:space="preserve">, </w:t>
      </w:r>
    </w:p>
    <w:p w:rsidR="00E44EC7" w:rsidRPr="00286594" w:rsidRDefault="00E44EC7" w:rsidP="007A24AF">
      <w:pPr>
        <w:pStyle w:val="ListParagraph"/>
        <w:ind w:left="1080"/>
        <w:rPr>
          <w:rFonts w:ascii="Adobe Devanagari" w:hAnsi="Adobe Devanagari" w:cs="Adobe Devanagari"/>
          <w:b/>
        </w:rPr>
      </w:pPr>
    </w:p>
    <w:tbl>
      <w:tblPr>
        <w:tblStyle w:val="TableGrid"/>
        <w:tblW w:w="9900" w:type="dxa"/>
        <w:tblInd w:w="-725" w:type="dxa"/>
        <w:tblLook w:val="04A0" w:firstRow="1" w:lastRow="0" w:firstColumn="1" w:lastColumn="0" w:noHBand="0" w:noVBand="1"/>
      </w:tblPr>
      <w:tblGrid>
        <w:gridCol w:w="9900"/>
      </w:tblGrid>
      <w:tr w:rsidR="00AC4626" w:rsidTr="00102E50">
        <w:trPr>
          <w:trHeight w:val="260"/>
        </w:trPr>
        <w:tc>
          <w:tcPr>
            <w:tcW w:w="9900"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Pr="00605D1B" w:rsidRDefault="00102E50" w:rsidP="004A788B">
      <w:pPr>
        <w:rPr>
          <w:rFonts w:ascii="Adobe Devanagari" w:hAnsi="Adobe Devanagari" w:cs="Adobe Devanagari"/>
        </w:rPr>
      </w:pPr>
      <w:r>
        <w:rPr>
          <w:rFonts w:ascii="Adobe Devanagari" w:hAnsi="Adobe Devanagari" w:cs="Adobe Devanagari"/>
        </w:rPr>
        <w:t>There being no further business, the meeting was adjourned at 9:40 a.m.</w:t>
      </w: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60E61"/>
    <w:multiLevelType w:val="hybridMultilevel"/>
    <w:tmpl w:val="8BC6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944CA"/>
    <w:multiLevelType w:val="hybridMultilevel"/>
    <w:tmpl w:val="886C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0"/>
  </w:num>
  <w:num w:numId="4">
    <w:abstractNumId w:val="10"/>
  </w:num>
  <w:num w:numId="5">
    <w:abstractNumId w:val="12"/>
  </w:num>
  <w:num w:numId="6">
    <w:abstractNumId w:val="18"/>
  </w:num>
  <w:num w:numId="7">
    <w:abstractNumId w:val="6"/>
  </w:num>
  <w:num w:numId="8">
    <w:abstractNumId w:val="13"/>
  </w:num>
  <w:num w:numId="9">
    <w:abstractNumId w:val="17"/>
  </w:num>
  <w:num w:numId="10">
    <w:abstractNumId w:val="5"/>
  </w:num>
  <w:num w:numId="11">
    <w:abstractNumId w:val="1"/>
  </w:num>
  <w:num w:numId="12">
    <w:abstractNumId w:val="11"/>
  </w:num>
  <w:num w:numId="13">
    <w:abstractNumId w:val="2"/>
  </w:num>
  <w:num w:numId="14">
    <w:abstractNumId w:val="7"/>
  </w:num>
  <w:num w:numId="15">
    <w:abstractNumId w:val="3"/>
  </w:num>
  <w:num w:numId="16">
    <w:abstractNumId w:val="14"/>
  </w:num>
  <w:num w:numId="17">
    <w:abstractNumId w:val="9"/>
  </w:num>
  <w:num w:numId="18">
    <w:abstractNumId w:val="8"/>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810D1"/>
    <w:rsid w:val="000E4CBB"/>
    <w:rsid w:val="00102E50"/>
    <w:rsid w:val="001135AD"/>
    <w:rsid w:val="001149C0"/>
    <w:rsid w:val="001737C9"/>
    <w:rsid w:val="001904E0"/>
    <w:rsid w:val="001B2372"/>
    <w:rsid w:val="001C0DFA"/>
    <w:rsid w:val="00257F39"/>
    <w:rsid w:val="00286594"/>
    <w:rsid w:val="00287577"/>
    <w:rsid w:val="002A7C27"/>
    <w:rsid w:val="002D43FB"/>
    <w:rsid w:val="00315BEB"/>
    <w:rsid w:val="00333332"/>
    <w:rsid w:val="003D025E"/>
    <w:rsid w:val="0043400D"/>
    <w:rsid w:val="004A7757"/>
    <w:rsid w:val="004A788B"/>
    <w:rsid w:val="005D0DEF"/>
    <w:rsid w:val="00605D1B"/>
    <w:rsid w:val="0061161C"/>
    <w:rsid w:val="00633513"/>
    <w:rsid w:val="00656669"/>
    <w:rsid w:val="006A7D7E"/>
    <w:rsid w:val="006B4AA4"/>
    <w:rsid w:val="006D1B44"/>
    <w:rsid w:val="006D2F30"/>
    <w:rsid w:val="006F1743"/>
    <w:rsid w:val="0076405B"/>
    <w:rsid w:val="007A24AF"/>
    <w:rsid w:val="007C1B2B"/>
    <w:rsid w:val="007C510D"/>
    <w:rsid w:val="007E4210"/>
    <w:rsid w:val="007E7B1B"/>
    <w:rsid w:val="00814662"/>
    <w:rsid w:val="008530B5"/>
    <w:rsid w:val="00863051"/>
    <w:rsid w:val="008667AC"/>
    <w:rsid w:val="00873793"/>
    <w:rsid w:val="008B493A"/>
    <w:rsid w:val="00965217"/>
    <w:rsid w:val="009812EB"/>
    <w:rsid w:val="00997E4C"/>
    <w:rsid w:val="00A30CE0"/>
    <w:rsid w:val="00A35E3B"/>
    <w:rsid w:val="00A61EEB"/>
    <w:rsid w:val="00A70BFE"/>
    <w:rsid w:val="00AB7A3C"/>
    <w:rsid w:val="00AC4626"/>
    <w:rsid w:val="00AF3BC9"/>
    <w:rsid w:val="00B30753"/>
    <w:rsid w:val="00B51394"/>
    <w:rsid w:val="00B571C8"/>
    <w:rsid w:val="00B72194"/>
    <w:rsid w:val="00B83BA9"/>
    <w:rsid w:val="00B8712C"/>
    <w:rsid w:val="00BB73FD"/>
    <w:rsid w:val="00BC147E"/>
    <w:rsid w:val="00C12993"/>
    <w:rsid w:val="00C564C2"/>
    <w:rsid w:val="00C60FB8"/>
    <w:rsid w:val="00C65E34"/>
    <w:rsid w:val="00CC203D"/>
    <w:rsid w:val="00CC2C85"/>
    <w:rsid w:val="00CC77A4"/>
    <w:rsid w:val="00D50E0C"/>
    <w:rsid w:val="00D710CD"/>
    <w:rsid w:val="00DC3E9B"/>
    <w:rsid w:val="00DC43BF"/>
    <w:rsid w:val="00E05105"/>
    <w:rsid w:val="00E222E9"/>
    <w:rsid w:val="00E44EC7"/>
    <w:rsid w:val="00E538D8"/>
    <w:rsid w:val="00F039F1"/>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5228">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 w:id="15764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woods-edu.zoom.us/j/92961710047?pwd=WXRYNHFNcmhYOC9wN3JUdTdWR1l1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2</cp:revision>
  <cp:lastPrinted>2021-11-18T16:33:00Z</cp:lastPrinted>
  <dcterms:created xsi:type="dcterms:W3CDTF">2021-11-18T21:49:00Z</dcterms:created>
  <dcterms:modified xsi:type="dcterms:W3CDTF">2021-11-18T21:49:00Z</dcterms:modified>
</cp:coreProperties>
</file>